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EE" w:rsidRPr="009F4E54" w:rsidRDefault="005563B7" w:rsidP="005027C9">
      <w:pPr>
        <w:jc w:val="center"/>
        <w:rPr>
          <w:rFonts w:ascii="Trebuchet MS" w:hAnsi="Trebuchet MS"/>
          <w:b/>
        </w:rPr>
      </w:pPr>
      <w:r w:rsidRPr="009F4E54">
        <w:rPr>
          <w:rFonts w:ascii="Trebuchet MS" w:hAnsi="Trebuchet MS"/>
          <w:b/>
        </w:rPr>
        <w:t>What is ACPE</w:t>
      </w:r>
      <w:r w:rsidR="001643F1" w:rsidRPr="009F4E54">
        <w:rPr>
          <w:rFonts w:ascii="Trebuchet MS" w:hAnsi="Trebuchet MS"/>
          <w:b/>
        </w:rPr>
        <w:t>?</w:t>
      </w:r>
    </w:p>
    <w:p w:rsidR="00D6321D" w:rsidRPr="00804D36" w:rsidRDefault="001643F1" w:rsidP="00B23DB6">
      <w:pPr>
        <w:pStyle w:val="ListParagraph"/>
        <w:numPr>
          <w:ilvl w:val="0"/>
          <w:numId w:val="2"/>
        </w:numPr>
        <w:spacing w:after="0"/>
        <w:jc w:val="both"/>
        <w:rPr>
          <w:rFonts w:ascii="Trebuchet MS" w:hAnsi="Trebuchet MS"/>
          <w:sz w:val="24"/>
          <w:szCs w:val="24"/>
        </w:rPr>
      </w:pPr>
      <w:r w:rsidRPr="00804D36">
        <w:rPr>
          <w:rFonts w:ascii="Trebuchet MS" w:hAnsi="Trebuchet MS"/>
          <w:sz w:val="24"/>
          <w:szCs w:val="24"/>
        </w:rPr>
        <w:t>Under the ASEAN Mutual Recognition Arrangement (MRA) on Engineering Services, a professional engineer</w:t>
      </w:r>
      <w:r w:rsidR="00D90283" w:rsidRPr="00804D36">
        <w:rPr>
          <w:rFonts w:ascii="Trebuchet MS" w:hAnsi="Trebuchet MS"/>
          <w:sz w:val="24"/>
          <w:szCs w:val="24"/>
        </w:rPr>
        <w:t xml:space="preserve"> or practitioner who holds the nationality of an ASEAN member country and who possesses qualifications and experience that comply with the requirements specified in the Assessment Statement may apply to be registered on the ASEAN Chartered Professional Engineers Register (ACPER) and accorded the title of ASEAN Chartered Professional Engineer (ACPE).</w:t>
      </w:r>
    </w:p>
    <w:p w:rsidR="00A00570" w:rsidRPr="009F4E54" w:rsidRDefault="00A00570" w:rsidP="00B23DB6">
      <w:pPr>
        <w:spacing w:after="0"/>
        <w:jc w:val="both"/>
        <w:rPr>
          <w:rFonts w:ascii="Trebuchet MS" w:hAnsi="Trebuchet MS"/>
        </w:rPr>
      </w:pPr>
    </w:p>
    <w:p w:rsidR="00F52C8F" w:rsidRPr="009F4E54" w:rsidRDefault="00F52C8F" w:rsidP="00B23DB6">
      <w:pPr>
        <w:spacing w:after="0"/>
        <w:jc w:val="both"/>
        <w:rPr>
          <w:rFonts w:ascii="Trebuchet MS" w:hAnsi="Trebuchet MS"/>
        </w:rPr>
      </w:pPr>
    </w:p>
    <w:p w:rsidR="00A00570" w:rsidRPr="00E14C57" w:rsidRDefault="000F4918" w:rsidP="00F52C8F">
      <w:pPr>
        <w:pStyle w:val="ListParagraph"/>
        <w:numPr>
          <w:ilvl w:val="0"/>
          <w:numId w:val="2"/>
        </w:numPr>
        <w:jc w:val="both"/>
        <w:rPr>
          <w:rFonts w:ascii="Trebuchet MS" w:hAnsi="Trebuchet MS"/>
          <w:sz w:val="24"/>
          <w:szCs w:val="24"/>
        </w:rPr>
      </w:pPr>
      <w:r w:rsidRPr="00E14C57">
        <w:rPr>
          <w:rFonts w:ascii="Trebuchet MS" w:hAnsi="Trebuchet MS"/>
          <w:sz w:val="24"/>
          <w:szCs w:val="24"/>
        </w:rPr>
        <w:t>The ASEAN member economies participating in the ACPE scheme are:</w:t>
      </w:r>
    </w:p>
    <w:p w:rsidR="007068FF" w:rsidRPr="00E14C57" w:rsidRDefault="007068FF" w:rsidP="007068FF">
      <w:pPr>
        <w:pStyle w:val="ListParagraph"/>
        <w:jc w:val="both"/>
        <w:rPr>
          <w:rFonts w:ascii="Trebuchet MS" w:hAnsi="Trebuchet MS"/>
          <w:sz w:val="24"/>
          <w:szCs w:val="24"/>
        </w:rPr>
      </w:pPr>
    </w:p>
    <w:p w:rsidR="003A267B"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Brunei</w:t>
      </w:r>
      <w:r w:rsidR="00F52C8F" w:rsidRPr="00E14C57">
        <w:rPr>
          <w:rFonts w:ascii="Trebuchet MS" w:hAnsi="Trebuchet MS"/>
          <w:sz w:val="24"/>
          <w:szCs w:val="24"/>
        </w:rPr>
        <w:t xml:space="preserve">            </w:t>
      </w:r>
    </w:p>
    <w:p w:rsidR="00F528C6"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Cambodia</w:t>
      </w:r>
    </w:p>
    <w:p w:rsidR="003A267B"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Indonesia</w:t>
      </w:r>
      <w:r w:rsidR="0071653B" w:rsidRPr="00E14C57">
        <w:rPr>
          <w:rFonts w:ascii="Trebuchet MS" w:hAnsi="Trebuchet MS"/>
          <w:sz w:val="24"/>
          <w:szCs w:val="24"/>
        </w:rPr>
        <w:t xml:space="preserve">       </w:t>
      </w:r>
    </w:p>
    <w:p w:rsidR="000F4918"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Lao PDR</w:t>
      </w:r>
    </w:p>
    <w:p w:rsidR="003A267B"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Malaysia</w:t>
      </w:r>
      <w:r w:rsidR="00F52C8F" w:rsidRPr="00E14C57">
        <w:rPr>
          <w:rFonts w:ascii="Trebuchet MS" w:hAnsi="Trebuchet MS"/>
          <w:sz w:val="24"/>
          <w:szCs w:val="24"/>
        </w:rPr>
        <w:t xml:space="preserve"> </w:t>
      </w:r>
      <w:r w:rsidR="003A267B" w:rsidRPr="00E14C57">
        <w:rPr>
          <w:rFonts w:ascii="Trebuchet MS" w:hAnsi="Trebuchet MS"/>
          <w:sz w:val="24"/>
          <w:szCs w:val="24"/>
        </w:rPr>
        <w:t xml:space="preserve">        </w:t>
      </w:r>
    </w:p>
    <w:p w:rsidR="000F4918" w:rsidRPr="00E14C57" w:rsidRDefault="00F52C8F"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M</w:t>
      </w:r>
      <w:r w:rsidR="000F4918" w:rsidRPr="00E14C57">
        <w:rPr>
          <w:rFonts w:ascii="Trebuchet MS" w:hAnsi="Trebuchet MS"/>
          <w:sz w:val="24"/>
          <w:szCs w:val="24"/>
        </w:rPr>
        <w:t>yanmar</w:t>
      </w:r>
    </w:p>
    <w:p w:rsidR="003A267B"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Philippines</w:t>
      </w:r>
      <w:r w:rsidR="00F52C8F" w:rsidRPr="00E14C57">
        <w:rPr>
          <w:rFonts w:ascii="Trebuchet MS" w:hAnsi="Trebuchet MS"/>
          <w:sz w:val="24"/>
          <w:szCs w:val="24"/>
        </w:rPr>
        <w:t xml:space="preserve">      </w:t>
      </w:r>
    </w:p>
    <w:p w:rsidR="000F4918" w:rsidRPr="00E14C57" w:rsidRDefault="000F4918"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Singapore</w:t>
      </w:r>
    </w:p>
    <w:p w:rsidR="003A267B" w:rsidRPr="00E14C57" w:rsidRDefault="00F52C8F" w:rsidP="003A267B">
      <w:pPr>
        <w:pStyle w:val="ListParagraph"/>
        <w:numPr>
          <w:ilvl w:val="0"/>
          <w:numId w:val="5"/>
        </w:numPr>
        <w:spacing w:after="0"/>
        <w:rPr>
          <w:rFonts w:ascii="Trebuchet MS" w:hAnsi="Trebuchet MS"/>
          <w:sz w:val="24"/>
          <w:szCs w:val="24"/>
        </w:rPr>
      </w:pPr>
      <w:r w:rsidRPr="00E14C57">
        <w:rPr>
          <w:rFonts w:ascii="Trebuchet MS" w:hAnsi="Trebuchet MS"/>
          <w:sz w:val="24"/>
          <w:szCs w:val="24"/>
        </w:rPr>
        <w:t xml:space="preserve">Thailand       </w:t>
      </w:r>
      <w:r w:rsidR="003A267B" w:rsidRPr="00E14C57">
        <w:rPr>
          <w:rFonts w:ascii="Trebuchet MS" w:hAnsi="Trebuchet MS"/>
          <w:sz w:val="24"/>
          <w:szCs w:val="24"/>
        </w:rPr>
        <w:t xml:space="preserve"> </w:t>
      </w:r>
    </w:p>
    <w:p w:rsidR="009C45E7" w:rsidRPr="00E14C57" w:rsidRDefault="00F52C8F" w:rsidP="000F4918">
      <w:pPr>
        <w:pStyle w:val="ListParagraph"/>
        <w:numPr>
          <w:ilvl w:val="0"/>
          <w:numId w:val="5"/>
        </w:numPr>
        <w:spacing w:after="0"/>
        <w:rPr>
          <w:rFonts w:ascii="Trebuchet MS" w:hAnsi="Trebuchet MS"/>
          <w:sz w:val="24"/>
          <w:szCs w:val="24"/>
        </w:rPr>
      </w:pPr>
      <w:r w:rsidRPr="00E14C57">
        <w:rPr>
          <w:rFonts w:ascii="Trebuchet MS" w:hAnsi="Trebuchet MS"/>
          <w:sz w:val="24"/>
          <w:szCs w:val="24"/>
        </w:rPr>
        <w:t>Vietnam</w:t>
      </w:r>
    </w:p>
    <w:p w:rsidR="00E81A36" w:rsidRPr="009F4E54" w:rsidRDefault="00E81A36" w:rsidP="00E81A36">
      <w:pPr>
        <w:spacing w:after="0"/>
        <w:jc w:val="center"/>
        <w:rPr>
          <w:rFonts w:ascii="Trebuchet MS" w:hAnsi="Trebuchet MS"/>
          <w:b/>
        </w:rPr>
      </w:pPr>
      <w:r w:rsidRPr="009F4E54">
        <w:rPr>
          <w:rFonts w:ascii="Trebuchet MS" w:hAnsi="Trebuchet MS"/>
          <w:b/>
        </w:rPr>
        <w:lastRenderedPageBreak/>
        <w:t>What is ASE</w:t>
      </w:r>
      <w:r w:rsidR="00D37DEC" w:rsidRPr="009F4E54">
        <w:rPr>
          <w:rFonts w:ascii="Trebuchet MS" w:hAnsi="Trebuchet MS"/>
          <w:b/>
        </w:rPr>
        <w:t>AN Mutual Recognition Arrangeme</w:t>
      </w:r>
      <w:r w:rsidRPr="009F4E54">
        <w:rPr>
          <w:rFonts w:ascii="Trebuchet MS" w:hAnsi="Trebuchet MS"/>
          <w:b/>
        </w:rPr>
        <w:t>nt</w:t>
      </w:r>
      <w:r w:rsidR="00D37DEC" w:rsidRPr="009F4E54">
        <w:rPr>
          <w:rFonts w:ascii="Trebuchet MS" w:hAnsi="Trebuchet MS"/>
          <w:b/>
        </w:rPr>
        <w:t xml:space="preserve"> (MRA) on Engineering Services?</w:t>
      </w:r>
    </w:p>
    <w:p w:rsidR="003A267B" w:rsidRPr="009F4E54" w:rsidRDefault="003A267B" w:rsidP="00E81A36">
      <w:pPr>
        <w:spacing w:after="0"/>
        <w:jc w:val="center"/>
        <w:rPr>
          <w:rFonts w:ascii="Trebuchet MS" w:hAnsi="Trebuchet MS"/>
          <w:b/>
        </w:rPr>
      </w:pPr>
    </w:p>
    <w:p w:rsidR="00D37DEC" w:rsidRPr="009F4E54" w:rsidRDefault="00D37DEC" w:rsidP="00FE1995">
      <w:pPr>
        <w:pStyle w:val="ListParagraph"/>
        <w:numPr>
          <w:ilvl w:val="0"/>
          <w:numId w:val="4"/>
        </w:numPr>
        <w:spacing w:after="0"/>
        <w:jc w:val="both"/>
        <w:rPr>
          <w:rFonts w:ascii="Trebuchet MS" w:hAnsi="Trebuchet MS"/>
        </w:rPr>
      </w:pPr>
      <w:r w:rsidRPr="009F4E54">
        <w:rPr>
          <w:rFonts w:ascii="Trebuchet MS" w:hAnsi="Trebuchet MS"/>
        </w:rPr>
        <w:t>It was signed at the 11</w:t>
      </w:r>
      <w:r w:rsidRPr="009F4E54">
        <w:rPr>
          <w:rFonts w:ascii="Trebuchet MS" w:hAnsi="Trebuchet MS"/>
          <w:vertAlign w:val="superscript"/>
        </w:rPr>
        <w:t>th</w:t>
      </w:r>
      <w:r w:rsidRPr="009F4E54">
        <w:rPr>
          <w:rFonts w:ascii="Trebuchet MS" w:hAnsi="Trebuchet MS"/>
        </w:rPr>
        <w:t xml:space="preserve"> ASEAN Summit on December 9, 2005 in Kuala Lumpur by all the ten (10) ASEAN Ministers of Trade.</w:t>
      </w:r>
    </w:p>
    <w:p w:rsidR="00D37DEC" w:rsidRPr="009F4E54" w:rsidRDefault="00D37DEC" w:rsidP="00FE1995">
      <w:pPr>
        <w:pStyle w:val="ListParagraph"/>
        <w:numPr>
          <w:ilvl w:val="0"/>
          <w:numId w:val="4"/>
        </w:numPr>
        <w:spacing w:after="0"/>
        <w:jc w:val="both"/>
        <w:rPr>
          <w:rFonts w:ascii="Trebuchet MS" w:hAnsi="Trebuchet MS"/>
        </w:rPr>
      </w:pPr>
      <w:r w:rsidRPr="009F4E54">
        <w:rPr>
          <w:rFonts w:ascii="Trebuchet MS" w:hAnsi="Trebuchet MS"/>
        </w:rPr>
        <w:t>It enables the qualifications of professional services suppliers to be mutually recognized by signatory member countries, hence facilitating easier flow of professional services in the ASEAN region.</w:t>
      </w:r>
    </w:p>
    <w:p w:rsidR="00A00570" w:rsidRPr="009F4E54" w:rsidRDefault="00D37DEC" w:rsidP="00FE1995">
      <w:pPr>
        <w:pStyle w:val="ListParagraph"/>
        <w:numPr>
          <w:ilvl w:val="0"/>
          <w:numId w:val="4"/>
        </w:numPr>
        <w:spacing w:after="0"/>
        <w:jc w:val="both"/>
        <w:rPr>
          <w:rFonts w:ascii="Trebuchet MS" w:hAnsi="Trebuchet MS"/>
        </w:rPr>
      </w:pPr>
      <w:r w:rsidRPr="009F4E54">
        <w:rPr>
          <w:rFonts w:ascii="Trebuchet MS" w:hAnsi="Trebuchet MS"/>
        </w:rPr>
        <w:t>As provided in Article V of ASEAN Framework Agreement on Services (AFAS)</w:t>
      </w:r>
      <w:r w:rsidR="00FE1995" w:rsidRPr="009F4E54">
        <w:rPr>
          <w:rFonts w:ascii="Trebuchet MS" w:hAnsi="Trebuchet MS"/>
        </w:rPr>
        <w:t>, ASEAN member countries may recognize the education, experience obtained, requirements met, and license granted in other ASEAN member countries, for the purpose of licensing or certification of service suppliers.</w:t>
      </w:r>
    </w:p>
    <w:p w:rsidR="007068FF" w:rsidRPr="009F4E54" w:rsidRDefault="007068FF" w:rsidP="007068FF">
      <w:pPr>
        <w:pStyle w:val="ListParagraph"/>
        <w:spacing w:after="0"/>
        <w:jc w:val="both"/>
        <w:rPr>
          <w:rFonts w:ascii="Trebuchet MS" w:hAnsi="Trebuchet MS"/>
        </w:rPr>
      </w:pPr>
    </w:p>
    <w:p w:rsidR="00FE1995" w:rsidRPr="009F4E54" w:rsidRDefault="007068FF" w:rsidP="007068FF">
      <w:pPr>
        <w:spacing w:after="0"/>
        <w:ind w:left="360"/>
        <w:jc w:val="center"/>
        <w:rPr>
          <w:rFonts w:ascii="Trebuchet MS" w:hAnsi="Trebuchet MS"/>
          <w:b/>
        </w:rPr>
      </w:pPr>
      <w:r w:rsidRPr="009F4E54">
        <w:rPr>
          <w:rFonts w:ascii="Trebuchet MS" w:hAnsi="Trebuchet MS"/>
          <w:b/>
        </w:rPr>
        <w:t>What is AMCESP?</w:t>
      </w:r>
    </w:p>
    <w:p w:rsidR="001420CE" w:rsidRPr="009F4E54" w:rsidRDefault="001420CE" w:rsidP="007068FF">
      <w:pPr>
        <w:pStyle w:val="ListParagraph"/>
        <w:spacing w:after="0"/>
        <w:jc w:val="both"/>
        <w:rPr>
          <w:rFonts w:ascii="Trebuchet MS" w:hAnsi="Trebuchet MS"/>
        </w:rPr>
      </w:pPr>
      <w:r w:rsidRPr="009F4E54">
        <w:rPr>
          <w:rFonts w:ascii="Trebuchet MS" w:hAnsi="Trebuchet MS"/>
        </w:rPr>
        <w:t xml:space="preserve">The </w:t>
      </w:r>
      <w:r w:rsidRPr="009F4E54">
        <w:rPr>
          <w:rFonts w:ascii="Trebuchet MS" w:hAnsi="Trebuchet MS"/>
          <w:b/>
        </w:rPr>
        <w:t>ASEAN Monitoring Commi</w:t>
      </w:r>
      <w:r w:rsidR="00531DCA">
        <w:rPr>
          <w:rFonts w:ascii="Trebuchet MS" w:hAnsi="Trebuchet MS"/>
          <w:b/>
        </w:rPr>
        <w:t>ttee on Engineering Services of</w:t>
      </w:r>
      <w:r w:rsidRPr="009F4E54">
        <w:rPr>
          <w:rFonts w:ascii="Trebuchet MS" w:hAnsi="Trebuchet MS"/>
          <w:b/>
        </w:rPr>
        <w:t xml:space="preserve"> the Philippines </w:t>
      </w:r>
      <w:r w:rsidRPr="009F4E54">
        <w:rPr>
          <w:rFonts w:ascii="Trebuchet MS" w:hAnsi="Trebuchet MS"/>
        </w:rPr>
        <w:t>(</w:t>
      </w:r>
      <w:r w:rsidRPr="009F4E54">
        <w:rPr>
          <w:rFonts w:ascii="Trebuchet MS" w:hAnsi="Trebuchet MS"/>
          <w:b/>
        </w:rPr>
        <w:t>AMCESP</w:t>
      </w:r>
      <w:r w:rsidRPr="009F4E54">
        <w:rPr>
          <w:rFonts w:ascii="Trebuchet MS" w:hAnsi="Trebuchet MS"/>
        </w:rPr>
        <w:t>) was created in 2010 to serve the function of the Monitoring Committee for the Philippines. It is composed of:</w:t>
      </w:r>
    </w:p>
    <w:p w:rsidR="001420CE" w:rsidRPr="009F4E54" w:rsidRDefault="001420CE" w:rsidP="009C45E7">
      <w:pPr>
        <w:pStyle w:val="ListParagraph"/>
        <w:spacing w:after="0"/>
        <w:jc w:val="both"/>
        <w:rPr>
          <w:rFonts w:ascii="Trebuchet MS" w:hAnsi="Trebuchet MS"/>
        </w:rPr>
      </w:pPr>
      <w:r w:rsidRPr="009F4E54">
        <w:rPr>
          <w:rFonts w:ascii="Trebuchet MS" w:hAnsi="Trebuchet MS"/>
        </w:rPr>
        <w:t xml:space="preserve">Professional Regulation Commission as Chairman, two (2) </w:t>
      </w:r>
      <w:proofErr w:type="spellStart"/>
      <w:r w:rsidRPr="009F4E54">
        <w:rPr>
          <w:rFonts w:ascii="Trebuchet MS" w:hAnsi="Trebuchet MS"/>
        </w:rPr>
        <w:t>Eng’g</w:t>
      </w:r>
      <w:proofErr w:type="spellEnd"/>
      <w:r w:rsidRPr="009F4E54">
        <w:rPr>
          <w:rFonts w:ascii="Trebuchet MS" w:hAnsi="Trebuchet MS"/>
        </w:rPr>
        <w:t xml:space="preserve"> Professional Regulatory Boards, Commission on Higher Education, and Philippine Technological Council as Members. </w:t>
      </w:r>
    </w:p>
    <w:p w:rsidR="009F4E54" w:rsidRDefault="009F4E54" w:rsidP="00E81A36">
      <w:pPr>
        <w:spacing w:after="0"/>
        <w:jc w:val="center"/>
        <w:rPr>
          <w:rFonts w:ascii="Trebuchet MS" w:hAnsi="Trebuchet MS"/>
        </w:rPr>
      </w:pPr>
    </w:p>
    <w:p w:rsidR="009F4E54" w:rsidRDefault="009F4E54" w:rsidP="00E81A36">
      <w:pPr>
        <w:spacing w:after="0"/>
        <w:jc w:val="center"/>
        <w:rPr>
          <w:rFonts w:ascii="Trebuchet MS" w:hAnsi="Trebuchet MS"/>
        </w:rPr>
      </w:pPr>
    </w:p>
    <w:p w:rsidR="006E66CD" w:rsidRPr="009F4E54" w:rsidRDefault="003A267B" w:rsidP="00E81A36">
      <w:pPr>
        <w:spacing w:after="0"/>
        <w:jc w:val="center"/>
        <w:rPr>
          <w:rFonts w:ascii="Trebuchet MS" w:hAnsi="Trebuchet MS"/>
          <w:b/>
        </w:rPr>
      </w:pPr>
      <w:r w:rsidRPr="009F4E54">
        <w:rPr>
          <w:rFonts w:ascii="Trebuchet MS" w:hAnsi="Trebuchet MS"/>
          <w:b/>
        </w:rPr>
        <w:lastRenderedPageBreak/>
        <w:t>Recognized field of engineering practice offered in the Philippines</w:t>
      </w:r>
      <w:r w:rsidR="006E66CD" w:rsidRPr="009F4E54">
        <w:rPr>
          <w:rFonts w:ascii="Trebuchet MS" w:hAnsi="Trebuchet MS"/>
          <w:b/>
        </w:rPr>
        <w:t>:</w:t>
      </w:r>
    </w:p>
    <w:p w:rsidR="00A00570"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Agricultural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Aeronautical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Chemical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Civil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Electrical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Electronics</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Geodetic</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Mechanical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Metallurgical</w:t>
      </w:r>
    </w:p>
    <w:p w:rsidR="006E66CD" w:rsidRPr="009F4E54" w:rsidRDefault="006E66CD" w:rsidP="006E66CD">
      <w:pPr>
        <w:pStyle w:val="ListParagraph"/>
        <w:numPr>
          <w:ilvl w:val="0"/>
          <w:numId w:val="6"/>
        </w:numPr>
        <w:spacing w:after="0"/>
        <w:rPr>
          <w:rFonts w:ascii="Trebuchet MS" w:hAnsi="Trebuchet MS"/>
        </w:rPr>
      </w:pPr>
      <w:r w:rsidRPr="009F4E54">
        <w:rPr>
          <w:rFonts w:ascii="Trebuchet MS" w:hAnsi="Trebuchet MS"/>
        </w:rPr>
        <w:t>Mining</w:t>
      </w:r>
    </w:p>
    <w:p w:rsidR="006E66CD" w:rsidRPr="009F4E54" w:rsidRDefault="009F4E54" w:rsidP="006E66CD">
      <w:pPr>
        <w:pStyle w:val="ListParagraph"/>
        <w:numPr>
          <w:ilvl w:val="0"/>
          <w:numId w:val="6"/>
        </w:numPr>
        <w:spacing w:after="0"/>
        <w:rPr>
          <w:rFonts w:ascii="Trebuchet MS" w:hAnsi="Trebuchet MS"/>
        </w:rPr>
      </w:pPr>
      <w:r>
        <w:rPr>
          <w:rFonts w:ascii="Trebuchet MS" w:hAnsi="Trebuchet MS"/>
        </w:rPr>
        <w:t xml:space="preserve">Naval Architecture and Marine </w:t>
      </w:r>
      <w:proofErr w:type="spellStart"/>
      <w:r w:rsidR="006E66CD" w:rsidRPr="009F4E54">
        <w:rPr>
          <w:rFonts w:ascii="Trebuchet MS" w:hAnsi="Trebuchet MS"/>
        </w:rPr>
        <w:t>Eng’g</w:t>
      </w:r>
      <w:proofErr w:type="spellEnd"/>
    </w:p>
    <w:p w:rsidR="001420CE" w:rsidRDefault="006E66CD" w:rsidP="009C45E7">
      <w:pPr>
        <w:pStyle w:val="ListParagraph"/>
        <w:numPr>
          <w:ilvl w:val="0"/>
          <w:numId w:val="6"/>
        </w:numPr>
        <w:spacing w:after="0"/>
        <w:rPr>
          <w:rFonts w:ascii="Trebuchet MS" w:hAnsi="Trebuchet MS"/>
        </w:rPr>
      </w:pPr>
      <w:r w:rsidRPr="009F4E54">
        <w:rPr>
          <w:rFonts w:ascii="Trebuchet MS" w:hAnsi="Trebuchet MS"/>
        </w:rPr>
        <w:t xml:space="preserve">Sanitary </w:t>
      </w:r>
    </w:p>
    <w:p w:rsidR="007527D6" w:rsidRPr="009F4E54" w:rsidRDefault="007527D6" w:rsidP="007527D6">
      <w:pPr>
        <w:pStyle w:val="ListParagraph"/>
        <w:spacing w:after="0"/>
        <w:ind w:left="1080"/>
        <w:rPr>
          <w:rFonts w:ascii="Trebuchet MS" w:hAnsi="Trebuchet MS"/>
        </w:rPr>
      </w:pPr>
    </w:p>
    <w:p w:rsidR="006A6FF2" w:rsidRPr="009F4E54" w:rsidRDefault="006A6FF2" w:rsidP="006A6FF2">
      <w:pPr>
        <w:spacing w:after="0"/>
        <w:jc w:val="both"/>
        <w:rPr>
          <w:rFonts w:ascii="Trebuchet MS" w:hAnsi="Trebuchet MS"/>
        </w:rPr>
      </w:pPr>
      <w:r w:rsidRPr="009F4E54">
        <w:rPr>
          <w:rFonts w:ascii="Trebuchet MS" w:hAnsi="Trebuchet MS"/>
          <w:b/>
        </w:rPr>
        <w:t>T</w:t>
      </w:r>
      <w:r w:rsidR="00EB2E8F" w:rsidRPr="009F4E54">
        <w:rPr>
          <w:rFonts w:ascii="Trebuchet MS" w:hAnsi="Trebuchet MS"/>
          <w:b/>
        </w:rPr>
        <w:t>he requirements to be registered as ACPE are:</w:t>
      </w:r>
    </w:p>
    <w:p w:rsidR="00EB2E8F"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117BED" w:rsidRPr="009F4E54">
        <w:rPr>
          <w:rFonts w:ascii="Trebuchet MS" w:hAnsi="Trebuchet MS"/>
        </w:rPr>
        <w:t>Has</w:t>
      </w:r>
      <w:proofErr w:type="gramEnd"/>
      <w:r w:rsidR="00117BED" w:rsidRPr="009F4E54">
        <w:rPr>
          <w:rFonts w:ascii="Trebuchet MS" w:hAnsi="Trebuchet MS"/>
        </w:rPr>
        <w:t xml:space="preserve"> completed a recognized engineering program or its equivalent in a university or school accredited by CHED</w:t>
      </w:r>
    </w:p>
    <w:p w:rsidR="00117BED"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117BED" w:rsidRPr="009F4E54">
        <w:rPr>
          <w:rFonts w:ascii="Trebuchet MS" w:hAnsi="Trebuchet MS"/>
        </w:rPr>
        <w:t>Possesses</w:t>
      </w:r>
      <w:proofErr w:type="gramEnd"/>
      <w:r w:rsidR="00117BED" w:rsidRPr="009F4E54">
        <w:rPr>
          <w:rFonts w:ascii="Trebuchet MS" w:hAnsi="Trebuchet MS"/>
        </w:rPr>
        <w:t xml:space="preserve"> a current and valid PRC professional registration or license to practice engineering in the Philippines</w:t>
      </w:r>
    </w:p>
    <w:p w:rsidR="00117BED"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117BED" w:rsidRPr="009F4E54">
        <w:rPr>
          <w:rFonts w:ascii="Trebuchet MS" w:hAnsi="Trebuchet MS"/>
        </w:rPr>
        <w:t>Has</w:t>
      </w:r>
      <w:proofErr w:type="gramEnd"/>
      <w:r w:rsidR="00117BED" w:rsidRPr="009F4E54">
        <w:rPr>
          <w:rFonts w:ascii="Trebuchet MS" w:hAnsi="Trebuchet MS"/>
        </w:rPr>
        <w:t xml:space="preserve"> gained experience of not less than seven years</w:t>
      </w:r>
      <w:r w:rsidR="009C45E7" w:rsidRPr="009F4E54">
        <w:rPr>
          <w:rFonts w:ascii="Trebuchet MS" w:hAnsi="Trebuchet MS"/>
        </w:rPr>
        <w:t xml:space="preserve"> of active and </w:t>
      </w:r>
      <w:r w:rsidR="00117BED" w:rsidRPr="009F4E54">
        <w:rPr>
          <w:rFonts w:ascii="Trebuchet MS" w:hAnsi="Trebuchet MS"/>
        </w:rPr>
        <w:t>practical engineering experience</w:t>
      </w:r>
    </w:p>
    <w:p w:rsidR="00117BED"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9C45E7" w:rsidRPr="009F4E54">
        <w:rPr>
          <w:rFonts w:ascii="Trebuchet MS" w:hAnsi="Trebuchet MS"/>
        </w:rPr>
        <w:t>Has</w:t>
      </w:r>
      <w:proofErr w:type="gramEnd"/>
      <w:r w:rsidR="009C45E7" w:rsidRPr="009F4E54">
        <w:rPr>
          <w:rFonts w:ascii="Trebuchet MS" w:hAnsi="Trebuchet MS"/>
        </w:rPr>
        <w:t xml:space="preserve"> spent at least two years in responsible charge of significant engineering works within the seven years prescribed practice</w:t>
      </w:r>
    </w:p>
    <w:p w:rsidR="009C45E7"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9C45E7" w:rsidRPr="009F4E54">
        <w:rPr>
          <w:rFonts w:ascii="Trebuchet MS" w:hAnsi="Trebuchet MS"/>
        </w:rPr>
        <w:t>Has</w:t>
      </w:r>
      <w:proofErr w:type="gramEnd"/>
      <w:r w:rsidR="009C45E7" w:rsidRPr="009F4E54">
        <w:rPr>
          <w:rFonts w:ascii="Trebuchet MS" w:hAnsi="Trebuchet MS"/>
        </w:rPr>
        <w:t xml:space="preserve"> complied with the CPD program of the Philippines</w:t>
      </w:r>
    </w:p>
    <w:p w:rsidR="009C45E7" w:rsidRPr="009F4E54" w:rsidRDefault="007068FF" w:rsidP="006A6FF2">
      <w:pPr>
        <w:spacing w:after="0"/>
        <w:jc w:val="both"/>
        <w:rPr>
          <w:rFonts w:ascii="Trebuchet MS" w:hAnsi="Trebuchet MS"/>
        </w:rPr>
      </w:pPr>
      <w:r w:rsidRPr="009F4E54">
        <w:rPr>
          <w:rFonts w:ascii="Trebuchet MS" w:hAnsi="Trebuchet MS"/>
        </w:rPr>
        <w:t xml:space="preserve">● </w:t>
      </w:r>
      <w:proofErr w:type="gramStart"/>
      <w:r w:rsidR="009C45E7" w:rsidRPr="009F4E54">
        <w:rPr>
          <w:rFonts w:ascii="Trebuchet MS" w:hAnsi="Trebuchet MS"/>
        </w:rPr>
        <w:t>Has</w:t>
      </w:r>
      <w:proofErr w:type="gramEnd"/>
      <w:r w:rsidR="009C45E7" w:rsidRPr="009F4E54">
        <w:rPr>
          <w:rFonts w:ascii="Trebuchet MS" w:hAnsi="Trebuchet MS"/>
        </w:rPr>
        <w:t xml:space="preserve"> confirmed signature on the statement of compliance with codes of ethics</w:t>
      </w:r>
    </w:p>
    <w:p w:rsidR="00E81A36" w:rsidRPr="009F4E54" w:rsidRDefault="007068FF" w:rsidP="007B1061">
      <w:pPr>
        <w:spacing w:after="0"/>
        <w:jc w:val="both"/>
        <w:rPr>
          <w:rFonts w:ascii="Trebuchet MS" w:hAnsi="Trebuchet MS"/>
        </w:rPr>
      </w:pPr>
      <w:r w:rsidRPr="009F4E54">
        <w:rPr>
          <w:rFonts w:ascii="Trebuchet MS" w:hAnsi="Trebuchet MS"/>
        </w:rPr>
        <w:t xml:space="preserve">● </w:t>
      </w:r>
      <w:proofErr w:type="gramStart"/>
      <w:r w:rsidR="009C45E7" w:rsidRPr="009F4E54">
        <w:rPr>
          <w:rFonts w:ascii="Trebuchet MS" w:hAnsi="Trebuchet MS"/>
        </w:rPr>
        <w:t>Has</w:t>
      </w:r>
      <w:proofErr w:type="gramEnd"/>
      <w:r w:rsidR="009C45E7" w:rsidRPr="009F4E54">
        <w:rPr>
          <w:rFonts w:ascii="Trebuchet MS" w:hAnsi="Trebuchet MS"/>
        </w:rPr>
        <w:t xml:space="preserve"> </w:t>
      </w:r>
      <w:r w:rsidRPr="009F4E54">
        <w:rPr>
          <w:rFonts w:ascii="Trebuchet MS" w:hAnsi="Trebuchet MS"/>
        </w:rPr>
        <w:t xml:space="preserve">not been charged or convicted of any crime involving moral turpitude and </w:t>
      </w:r>
      <w:r w:rsidR="007B1061" w:rsidRPr="009F4E54">
        <w:rPr>
          <w:rFonts w:ascii="Trebuchet MS" w:hAnsi="Trebuchet MS"/>
        </w:rPr>
        <w:t>illegal practices</w:t>
      </w:r>
    </w:p>
    <w:sectPr w:rsidR="00E81A36" w:rsidRPr="009F4E54" w:rsidSect="007527D6">
      <w:pgSz w:w="16839" w:h="11907" w:orient="landscape" w:code="9"/>
      <w:pgMar w:top="720" w:right="864" w:bottom="576" w:left="173" w:header="432" w:footer="288" w:gutter="0"/>
      <w:cols w:num="3"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F7766"/>
    <w:multiLevelType w:val="hybridMultilevel"/>
    <w:tmpl w:val="9162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46B2B"/>
    <w:multiLevelType w:val="hybridMultilevel"/>
    <w:tmpl w:val="626EA0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992705"/>
    <w:multiLevelType w:val="hybridMultilevel"/>
    <w:tmpl w:val="52503F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6B33265"/>
    <w:multiLevelType w:val="hybridMultilevel"/>
    <w:tmpl w:val="0468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31595"/>
    <w:multiLevelType w:val="hybridMultilevel"/>
    <w:tmpl w:val="3C061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F04FE6"/>
    <w:multiLevelType w:val="hybridMultilevel"/>
    <w:tmpl w:val="BD68C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712495"/>
    <w:multiLevelType w:val="hybridMultilevel"/>
    <w:tmpl w:val="5B2613E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00570"/>
    <w:rsid w:val="00020DED"/>
    <w:rsid w:val="0002660A"/>
    <w:rsid w:val="000D6D63"/>
    <w:rsid w:val="000F4918"/>
    <w:rsid w:val="000F5B12"/>
    <w:rsid w:val="00117BED"/>
    <w:rsid w:val="001349C1"/>
    <w:rsid w:val="001420CE"/>
    <w:rsid w:val="001643F1"/>
    <w:rsid w:val="001C2E51"/>
    <w:rsid w:val="00210EC1"/>
    <w:rsid w:val="002630C3"/>
    <w:rsid w:val="002C204E"/>
    <w:rsid w:val="002E221A"/>
    <w:rsid w:val="003704B3"/>
    <w:rsid w:val="003A267B"/>
    <w:rsid w:val="003D3B38"/>
    <w:rsid w:val="00404D3C"/>
    <w:rsid w:val="00451B86"/>
    <w:rsid w:val="004B3762"/>
    <w:rsid w:val="004D6920"/>
    <w:rsid w:val="005027C9"/>
    <w:rsid w:val="00531DCA"/>
    <w:rsid w:val="005563B7"/>
    <w:rsid w:val="005662F5"/>
    <w:rsid w:val="00572A3B"/>
    <w:rsid w:val="00590419"/>
    <w:rsid w:val="00662DC4"/>
    <w:rsid w:val="00666606"/>
    <w:rsid w:val="006A6FF2"/>
    <w:rsid w:val="006E66CD"/>
    <w:rsid w:val="007068FF"/>
    <w:rsid w:val="00714894"/>
    <w:rsid w:val="0071653B"/>
    <w:rsid w:val="007527D6"/>
    <w:rsid w:val="007B1061"/>
    <w:rsid w:val="007F4720"/>
    <w:rsid w:val="00804D36"/>
    <w:rsid w:val="009C45E7"/>
    <w:rsid w:val="009E20CA"/>
    <w:rsid w:val="009F4E54"/>
    <w:rsid w:val="00A00570"/>
    <w:rsid w:val="00A139A1"/>
    <w:rsid w:val="00A36304"/>
    <w:rsid w:val="00A470E6"/>
    <w:rsid w:val="00AD3567"/>
    <w:rsid w:val="00AE7C13"/>
    <w:rsid w:val="00B03B3F"/>
    <w:rsid w:val="00B21F83"/>
    <w:rsid w:val="00B23DB6"/>
    <w:rsid w:val="00C33C4D"/>
    <w:rsid w:val="00C4635B"/>
    <w:rsid w:val="00CE756A"/>
    <w:rsid w:val="00CE7EDB"/>
    <w:rsid w:val="00D00186"/>
    <w:rsid w:val="00D37DEC"/>
    <w:rsid w:val="00D6321D"/>
    <w:rsid w:val="00D90283"/>
    <w:rsid w:val="00E14C57"/>
    <w:rsid w:val="00E81A36"/>
    <w:rsid w:val="00EB2E8F"/>
    <w:rsid w:val="00EE25EE"/>
    <w:rsid w:val="00EE7FF8"/>
    <w:rsid w:val="00F528C6"/>
    <w:rsid w:val="00F52C8F"/>
    <w:rsid w:val="00F7023A"/>
    <w:rsid w:val="00F84923"/>
    <w:rsid w:val="00FD098A"/>
    <w:rsid w:val="00FE19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5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570"/>
    <w:rPr>
      <w:rFonts w:ascii="Tahoma" w:hAnsi="Tahoma" w:cs="Tahoma"/>
      <w:sz w:val="16"/>
      <w:szCs w:val="16"/>
    </w:rPr>
  </w:style>
  <w:style w:type="paragraph" w:styleId="ListParagraph">
    <w:name w:val="List Paragraph"/>
    <w:basedOn w:val="Normal"/>
    <w:uiPriority w:val="34"/>
    <w:qFormat/>
    <w:rsid w:val="00EE7FF8"/>
    <w:pPr>
      <w:ind w:left="720"/>
      <w:contextualSpacing/>
    </w:pPr>
  </w:style>
  <w:style w:type="character" w:styleId="Hyperlink">
    <w:name w:val="Hyperlink"/>
    <w:basedOn w:val="DefaultParagraphFont"/>
    <w:uiPriority w:val="99"/>
    <w:unhideWhenUsed/>
    <w:rsid w:val="00F528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PC</dc:creator>
  <cp:lastModifiedBy>MY PC</cp:lastModifiedBy>
  <cp:revision>2</cp:revision>
  <cp:lastPrinted>2014-04-30T17:09:00Z</cp:lastPrinted>
  <dcterms:created xsi:type="dcterms:W3CDTF">2014-06-05T09:46:00Z</dcterms:created>
  <dcterms:modified xsi:type="dcterms:W3CDTF">2014-06-05T09:46:00Z</dcterms:modified>
</cp:coreProperties>
</file>