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267" w:rsidRDefault="00E90267" w:rsidP="004B25FE">
      <w:pPr>
        <w:pStyle w:val="HTMLPreformatted"/>
        <w:jc w:val="both"/>
        <w:rPr>
          <w:rFonts w:ascii="Times New Roman" w:eastAsia="Malgun Gothic" w:hAnsi="Times New Roman"/>
          <w:sz w:val="22"/>
          <w:szCs w:val="22"/>
          <w:u w:val="single"/>
        </w:rPr>
      </w:pPr>
    </w:p>
    <w:p w:rsidR="001432AD" w:rsidRDefault="005651A4" w:rsidP="004B25FE">
      <w:pPr>
        <w:pStyle w:val="HTMLPreformatted"/>
        <w:jc w:val="both"/>
        <w:rPr>
          <w:rFonts w:ascii="Times New Roman" w:eastAsia="Malgun Gothic" w:hAnsi="Times New Roman"/>
          <w:sz w:val="22"/>
          <w:szCs w:val="22"/>
          <w:u w:val="single"/>
        </w:rPr>
      </w:pPr>
      <w:r w:rsidRPr="00B31055">
        <w:rPr>
          <w:rFonts w:ascii="Times New Roman" w:eastAsia="Malgun Gothic" w:hAnsi="Times New Roman"/>
          <w:sz w:val="22"/>
          <w:szCs w:val="22"/>
          <w:u w:val="single"/>
        </w:rPr>
        <w:t>SUMMARY</w:t>
      </w:r>
    </w:p>
    <w:p w:rsidR="001432AD" w:rsidRDefault="001432AD" w:rsidP="004B25FE">
      <w:pPr>
        <w:pStyle w:val="HTMLPreformatted"/>
        <w:jc w:val="both"/>
        <w:rPr>
          <w:rFonts w:ascii="Times New Roman" w:eastAsia="Malgun Gothic" w:hAnsi="Times New Roman"/>
          <w:sz w:val="22"/>
          <w:szCs w:val="22"/>
          <w:u w:val="single"/>
        </w:rPr>
      </w:pPr>
    </w:p>
    <w:p w:rsidR="005651A4" w:rsidRPr="00B31055" w:rsidRDefault="00041EA0" w:rsidP="004B25FE">
      <w:pPr>
        <w:pStyle w:val="HTMLPreformatted"/>
        <w:jc w:val="both"/>
        <w:rPr>
          <w:rFonts w:ascii="Times New Roman" w:hAnsi="Times New Roman" w:cs="Times New Roman"/>
          <w:sz w:val="22"/>
          <w:szCs w:val="22"/>
        </w:rPr>
      </w:pPr>
      <w:r w:rsidRPr="00B31055">
        <w:rPr>
          <w:rFonts w:ascii="Times New Roman" w:eastAsia="Malgun Gothic" w:hAnsi="Times New Roman" w:cs="Times New Roman"/>
          <w:sz w:val="22"/>
          <w:szCs w:val="22"/>
        </w:rPr>
        <w:t xml:space="preserve">Senate </w:t>
      </w:r>
      <w:r w:rsidR="00BE4093" w:rsidRPr="00B31055">
        <w:rPr>
          <w:rFonts w:ascii="Times New Roman" w:eastAsia="Malgun Gothic" w:hAnsi="Times New Roman" w:cs="Times New Roman"/>
          <w:sz w:val="22"/>
          <w:szCs w:val="22"/>
        </w:rPr>
        <w:t xml:space="preserve">Bill </w:t>
      </w:r>
      <w:r w:rsidR="00113D07" w:rsidRPr="00B31055">
        <w:rPr>
          <w:rFonts w:ascii="Times New Roman" w:eastAsia="Malgun Gothic" w:hAnsi="Times New Roman" w:cs="Times New Roman"/>
          <w:sz w:val="22"/>
          <w:szCs w:val="22"/>
        </w:rPr>
        <w:t xml:space="preserve">898 </w:t>
      </w:r>
      <w:r w:rsidR="00B236EE" w:rsidRPr="00B31055">
        <w:rPr>
          <w:rFonts w:ascii="Times New Roman" w:eastAsia="Malgun Gothic" w:hAnsi="Times New Roman" w:cs="Times New Roman"/>
          <w:sz w:val="22"/>
          <w:szCs w:val="22"/>
        </w:rPr>
        <w:t>amends</w:t>
      </w:r>
      <w:r w:rsidR="00FB394F" w:rsidRPr="00B31055">
        <w:rPr>
          <w:rFonts w:ascii="Times New Roman" w:eastAsia="Malgun Gothic" w:hAnsi="Times New Roman" w:cs="Times New Roman"/>
          <w:sz w:val="22"/>
          <w:szCs w:val="22"/>
        </w:rPr>
        <w:t xml:space="preserve"> </w:t>
      </w:r>
      <w:r w:rsidR="00A449C8" w:rsidRPr="00B31055">
        <w:rPr>
          <w:rFonts w:ascii="Times New Roman" w:hAnsi="Times New Roman" w:cs="Times New Roman"/>
          <w:sz w:val="22"/>
          <w:szCs w:val="22"/>
        </w:rPr>
        <w:t xml:space="preserve">the </w:t>
      </w:r>
      <w:r w:rsidR="000C3F81">
        <w:rPr>
          <w:rFonts w:ascii="Times New Roman" w:hAnsi="Times New Roman" w:cs="Times New Roman"/>
          <w:sz w:val="22"/>
          <w:szCs w:val="22"/>
        </w:rPr>
        <w:t>California R</w:t>
      </w:r>
      <w:r w:rsidR="00D1729D" w:rsidRPr="00B31055">
        <w:rPr>
          <w:rFonts w:ascii="Times New Roman" w:hAnsi="Times New Roman" w:cs="Times New Roman"/>
          <w:sz w:val="22"/>
          <w:szCs w:val="22"/>
        </w:rPr>
        <w:t xml:space="preserve">evenue and </w:t>
      </w:r>
      <w:r w:rsidR="000C3F81">
        <w:rPr>
          <w:rFonts w:ascii="Times New Roman" w:hAnsi="Times New Roman" w:cs="Times New Roman"/>
          <w:sz w:val="22"/>
          <w:szCs w:val="22"/>
        </w:rPr>
        <w:t>T</w:t>
      </w:r>
      <w:r w:rsidR="00D1729D" w:rsidRPr="00B31055">
        <w:rPr>
          <w:rFonts w:ascii="Times New Roman" w:hAnsi="Times New Roman" w:cs="Times New Roman"/>
          <w:sz w:val="22"/>
          <w:szCs w:val="22"/>
        </w:rPr>
        <w:t>axation</w:t>
      </w:r>
      <w:r w:rsidR="00831236" w:rsidRPr="00B31055">
        <w:rPr>
          <w:rFonts w:ascii="Times New Roman" w:hAnsi="Times New Roman" w:cs="Times New Roman"/>
          <w:sz w:val="22"/>
          <w:szCs w:val="22"/>
        </w:rPr>
        <w:t xml:space="preserve"> code </w:t>
      </w:r>
      <w:r w:rsidR="00D1729D" w:rsidRPr="00B31055">
        <w:rPr>
          <w:rFonts w:ascii="Times New Roman" w:hAnsi="Times New Roman" w:cs="Times New Roman"/>
          <w:sz w:val="22"/>
          <w:szCs w:val="22"/>
        </w:rPr>
        <w:t>to clarify that the sale and use of animal blood, blood products</w:t>
      </w:r>
      <w:r w:rsidR="000C3F81">
        <w:rPr>
          <w:rFonts w:ascii="Times New Roman" w:hAnsi="Times New Roman" w:cs="Times New Roman"/>
          <w:sz w:val="22"/>
          <w:szCs w:val="22"/>
        </w:rPr>
        <w:t>,</w:t>
      </w:r>
      <w:r w:rsidR="00D1729D" w:rsidRPr="00B31055">
        <w:rPr>
          <w:rFonts w:ascii="Times New Roman" w:hAnsi="Times New Roman" w:cs="Times New Roman"/>
          <w:sz w:val="22"/>
          <w:szCs w:val="22"/>
        </w:rPr>
        <w:t xml:space="preserve"> and derivatives by</w:t>
      </w:r>
      <w:r w:rsidR="001432AD">
        <w:rPr>
          <w:rFonts w:ascii="Times New Roman" w:hAnsi="Times New Roman" w:cs="Times New Roman"/>
          <w:sz w:val="22"/>
          <w:szCs w:val="22"/>
        </w:rPr>
        <w:t xml:space="preserve"> a</w:t>
      </w:r>
      <w:r w:rsidR="00D1729D" w:rsidRPr="00B31055">
        <w:rPr>
          <w:rFonts w:ascii="Times New Roman" w:hAnsi="Times New Roman" w:cs="Times New Roman"/>
          <w:sz w:val="22"/>
          <w:szCs w:val="22"/>
        </w:rPr>
        <w:t xml:space="preserve"> licensed</w:t>
      </w:r>
      <w:r w:rsidR="001432AD">
        <w:rPr>
          <w:rFonts w:ascii="Times New Roman" w:hAnsi="Times New Roman" w:cs="Times New Roman"/>
          <w:sz w:val="22"/>
          <w:szCs w:val="22"/>
        </w:rPr>
        <w:t xml:space="preserve"> </w:t>
      </w:r>
      <w:r w:rsidR="00D1729D" w:rsidRPr="00B31055">
        <w:rPr>
          <w:rFonts w:ascii="Times New Roman" w:hAnsi="Times New Roman" w:cs="Times New Roman"/>
          <w:sz w:val="22"/>
          <w:szCs w:val="22"/>
        </w:rPr>
        <w:t xml:space="preserve">animal blood bank are not subject to tax when sold for use in the cure, mitigation, treatment or prevention of injury or disease in animals.  </w:t>
      </w:r>
    </w:p>
    <w:p w:rsidR="000F238F" w:rsidRPr="00B31055" w:rsidRDefault="000F238F" w:rsidP="004B25FE">
      <w:pPr>
        <w:ind w:firstLine="720"/>
        <w:jc w:val="both"/>
        <w:rPr>
          <w:rFonts w:ascii="Times New Roman" w:hAnsi="Times New Roman"/>
          <w:sz w:val="22"/>
          <w:szCs w:val="22"/>
        </w:rPr>
      </w:pPr>
    </w:p>
    <w:p w:rsidR="005651A4" w:rsidRPr="00B31055" w:rsidRDefault="005651A4" w:rsidP="004B25FE">
      <w:pPr>
        <w:jc w:val="both"/>
        <w:rPr>
          <w:rFonts w:ascii="Times New Roman" w:hAnsi="Times New Roman"/>
          <w:sz w:val="22"/>
          <w:szCs w:val="22"/>
          <w:u w:val="single"/>
        </w:rPr>
      </w:pPr>
      <w:r w:rsidRPr="00B31055">
        <w:rPr>
          <w:rFonts w:ascii="Times New Roman" w:hAnsi="Times New Roman"/>
          <w:sz w:val="22"/>
          <w:szCs w:val="22"/>
          <w:u w:val="single"/>
        </w:rPr>
        <w:t>BACKGROUND</w:t>
      </w:r>
    </w:p>
    <w:p w:rsidR="00D1729D" w:rsidRPr="00B31055" w:rsidRDefault="00D1729D" w:rsidP="004B25FE">
      <w:pPr>
        <w:jc w:val="both"/>
        <w:rPr>
          <w:rFonts w:ascii="Times New Roman" w:hAnsi="Times New Roman"/>
          <w:sz w:val="22"/>
          <w:szCs w:val="22"/>
          <w:u w:val="single"/>
        </w:rPr>
      </w:pPr>
    </w:p>
    <w:p w:rsidR="00831236" w:rsidRPr="00273A06" w:rsidRDefault="00831236" w:rsidP="004B25FE">
      <w:pPr>
        <w:jc w:val="both"/>
        <w:rPr>
          <w:rFonts w:ascii="Times New Roman" w:hAnsi="Times New Roman"/>
          <w:sz w:val="22"/>
          <w:szCs w:val="22"/>
        </w:rPr>
      </w:pPr>
      <w:r w:rsidRPr="00273A06">
        <w:rPr>
          <w:rFonts w:ascii="Times New Roman" w:hAnsi="Times New Roman"/>
          <w:sz w:val="22"/>
          <w:szCs w:val="22"/>
        </w:rPr>
        <w:t>According to the C</w:t>
      </w:r>
      <w:r w:rsidR="00E47FEB">
        <w:rPr>
          <w:rFonts w:ascii="Times New Roman" w:hAnsi="Times New Roman"/>
          <w:sz w:val="22"/>
          <w:szCs w:val="22"/>
        </w:rPr>
        <w:t xml:space="preserve">alifornia </w:t>
      </w:r>
      <w:r w:rsidRPr="00273A06">
        <w:rPr>
          <w:rFonts w:ascii="Times New Roman" w:hAnsi="Times New Roman"/>
          <w:sz w:val="22"/>
          <w:szCs w:val="22"/>
        </w:rPr>
        <w:t>D</w:t>
      </w:r>
      <w:r w:rsidR="00E47FEB">
        <w:rPr>
          <w:rFonts w:ascii="Times New Roman" w:hAnsi="Times New Roman"/>
          <w:sz w:val="22"/>
          <w:szCs w:val="22"/>
        </w:rPr>
        <w:t>epartment of Food and Agriculture</w:t>
      </w:r>
      <w:r w:rsidR="004B25FE">
        <w:rPr>
          <w:rFonts w:ascii="Times New Roman" w:hAnsi="Times New Roman"/>
          <w:sz w:val="22"/>
          <w:szCs w:val="22"/>
        </w:rPr>
        <w:t xml:space="preserve"> (CDFA)</w:t>
      </w:r>
      <w:r w:rsidRPr="00273A06">
        <w:rPr>
          <w:rFonts w:ascii="Times New Roman" w:hAnsi="Times New Roman"/>
          <w:sz w:val="22"/>
          <w:szCs w:val="22"/>
        </w:rPr>
        <w:t xml:space="preserve">, only two animal blood bank establishments hold licenses to produce, market, and sell animal blood and blood products. These service facilities provide whole blood, plasma, platelets, and clotting factors to veterinary hospitals and clinics. </w:t>
      </w:r>
      <w:r w:rsidR="00E27406" w:rsidRPr="00273A06">
        <w:rPr>
          <w:rFonts w:ascii="Times New Roman" w:hAnsi="Times New Roman"/>
          <w:sz w:val="22"/>
          <w:szCs w:val="22"/>
        </w:rPr>
        <w:t>Because California law does not allow pet owners to volunteer their animals as donors to these commercial blood banks, t</w:t>
      </w:r>
      <w:r w:rsidRPr="00273A06">
        <w:rPr>
          <w:rFonts w:ascii="Times New Roman" w:hAnsi="Times New Roman"/>
          <w:sz w:val="22"/>
          <w:szCs w:val="22"/>
        </w:rPr>
        <w:t xml:space="preserve">he blood used to make these products is collected from one of the animal “blood donors” housed permanently or semi-permanently at the blood bank. </w:t>
      </w:r>
    </w:p>
    <w:p w:rsidR="00831236" w:rsidRPr="00273A06" w:rsidRDefault="00831236" w:rsidP="004B25FE">
      <w:pPr>
        <w:jc w:val="both"/>
        <w:rPr>
          <w:rFonts w:ascii="Times New Roman" w:hAnsi="Times New Roman"/>
          <w:sz w:val="22"/>
          <w:szCs w:val="22"/>
        </w:rPr>
      </w:pPr>
    </w:p>
    <w:p w:rsidR="00831236" w:rsidRPr="00273A06" w:rsidRDefault="0032682C" w:rsidP="004B25FE">
      <w:pPr>
        <w:jc w:val="both"/>
        <w:rPr>
          <w:rFonts w:ascii="Times New Roman" w:hAnsi="Times New Roman"/>
          <w:sz w:val="22"/>
          <w:szCs w:val="22"/>
        </w:rPr>
      </w:pPr>
      <w:r>
        <w:rPr>
          <w:rFonts w:ascii="Times New Roman" w:hAnsi="Times New Roman"/>
          <w:sz w:val="22"/>
          <w:szCs w:val="22"/>
        </w:rPr>
        <w:t>H</w:t>
      </w:r>
      <w:r w:rsidR="00831236" w:rsidRPr="00273A06">
        <w:rPr>
          <w:rFonts w:ascii="Times New Roman" w:hAnsi="Times New Roman"/>
          <w:sz w:val="22"/>
          <w:szCs w:val="22"/>
        </w:rPr>
        <w:t xml:space="preserve">uman blood transfers are </w:t>
      </w:r>
      <w:r w:rsidR="00E27406" w:rsidRPr="00273A06">
        <w:rPr>
          <w:rFonts w:ascii="Times New Roman" w:hAnsi="Times New Roman"/>
          <w:sz w:val="22"/>
          <w:szCs w:val="22"/>
        </w:rPr>
        <w:t>exempt from sales and use tax</w:t>
      </w:r>
      <w:r>
        <w:rPr>
          <w:rFonts w:ascii="Times New Roman" w:hAnsi="Times New Roman"/>
          <w:sz w:val="22"/>
          <w:szCs w:val="22"/>
        </w:rPr>
        <w:t>.</w:t>
      </w:r>
      <w:r w:rsidR="001432AD">
        <w:rPr>
          <w:rFonts w:ascii="Times New Roman" w:hAnsi="Times New Roman"/>
          <w:sz w:val="22"/>
          <w:szCs w:val="22"/>
        </w:rPr>
        <w:t xml:space="preserve"> </w:t>
      </w:r>
      <w:r>
        <w:rPr>
          <w:rFonts w:ascii="Times New Roman" w:hAnsi="Times New Roman"/>
          <w:sz w:val="22"/>
          <w:szCs w:val="22"/>
        </w:rPr>
        <w:t>However,</w:t>
      </w:r>
      <w:r w:rsidR="00E27406" w:rsidRPr="00273A06">
        <w:rPr>
          <w:rFonts w:ascii="Times New Roman" w:hAnsi="Times New Roman"/>
          <w:sz w:val="22"/>
          <w:szCs w:val="22"/>
        </w:rPr>
        <w:t xml:space="preserve"> </w:t>
      </w:r>
      <w:r w:rsidR="00831236" w:rsidRPr="00273A06">
        <w:rPr>
          <w:rFonts w:ascii="Times New Roman" w:hAnsi="Times New Roman"/>
          <w:sz w:val="22"/>
          <w:szCs w:val="22"/>
        </w:rPr>
        <w:t>whether sales and use tax applies to the sales of animal blood products under the true object test is uncert</w:t>
      </w:r>
      <w:r w:rsidR="004B25FE">
        <w:rPr>
          <w:rFonts w:ascii="Times New Roman" w:hAnsi="Times New Roman"/>
          <w:sz w:val="22"/>
          <w:szCs w:val="22"/>
        </w:rPr>
        <w:t>ain and requires clarification.</w:t>
      </w:r>
      <w:r w:rsidR="00831236" w:rsidRPr="00273A06">
        <w:rPr>
          <w:rFonts w:ascii="Times New Roman" w:hAnsi="Times New Roman"/>
          <w:sz w:val="22"/>
          <w:szCs w:val="22"/>
        </w:rPr>
        <w:t xml:space="preserve"> This uncertainty has resulted in incorrect payment of sales and use tax and the incorrect assessment of sales and use </w:t>
      </w:r>
      <w:bookmarkStart w:id="0" w:name="_GoBack"/>
      <w:bookmarkEnd w:id="0"/>
      <w:r w:rsidR="00831236" w:rsidRPr="00273A06">
        <w:rPr>
          <w:rFonts w:ascii="Times New Roman" w:hAnsi="Times New Roman"/>
          <w:sz w:val="22"/>
          <w:szCs w:val="22"/>
        </w:rPr>
        <w:t>tax deficiencies.  This proposal clarifies that such transfers of animal blood by licensed establishments are not subject to sales or use tax.</w:t>
      </w:r>
    </w:p>
    <w:p w:rsidR="00D070CB" w:rsidRPr="00B31055" w:rsidRDefault="00D070CB" w:rsidP="004B25FE">
      <w:pPr>
        <w:jc w:val="both"/>
        <w:rPr>
          <w:rFonts w:ascii="Times New Roman" w:hAnsi="Times New Roman"/>
          <w:sz w:val="22"/>
          <w:szCs w:val="22"/>
          <w:u w:val="single"/>
        </w:rPr>
      </w:pPr>
    </w:p>
    <w:p w:rsidR="005D5647" w:rsidRPr="00B31055" w:rsidRDefault="005D5647" w:rsidP="004B25FE">
      <w:pPr>
        <w:jc w:val="both"/>
        <w:rPr>
          <w:rFonts w:ascii="Times New Roman" w:hAnsi="Times New Roman"/>
          <w:sz w:val="22"/>
          <w:szCs w:val="22"/>
          <w:u w:val="single"/>
        </w:rPr>
      </w:pPr>
      <w:r w:rsidRPr="00B31055">
        <w:rPr>
          <w:rFonts w:ascii="Times New Roman" w:hAnsi="Times New Roman"/>
          <w:sz w:val="22"/>
          <w:szCs w:val="22"/>
          <w:u w:val="single"/>
        </w:rPr>
        <w:t>EXISTING LAW</w:t>
      </w:r>
    </w:p>
    <w:p w:rsidR="00ED5835" w:rsidRDefault="00ED5835" w:rsidP="004B25FE">
      <w:pPr>
        <w:jc w:val="both"/>
        <w:rPr>
          <w:rFonts w:ascii="Times New Roman" w:hAnsi="Times New Roman"/>
          <w:sz w:val="22"/>
          <w:szCs w:val="22"/>
          <w:u w:val="single"/>
        </w:rPr>
      </w:pPr>
    </w:p>
    <w:p w:rsidR="006246D6" w:rsidRPr="007E5486" w:rsidRDefault="006246D6" w:rsidP="004B25FE">
      <w:pPr>
        <w:jc w:val="both"/>
        <w:rPr>
          <w:rFonts w:ascii="Times New Roman" w:hAnsi="Times New Roman"/>
          <w:sz w:val="22"/>
          <w:szCs w:val="22"/>
        </w:rPr>
      </w:pPr>
      <w:r w:rsidRPr="007E5486">
        <w:rPr>
          <w:rFonts w:ascii="Times New Roman" w:hAnsi="Times New Roman"/>
          <w:sz w:val="22"/>
          <w:szCs w:val="22"/>
        </w:rPr>
        <w:t xml:space="preserve">Existing law prohibits the offering for sale or use of any animal blood and blood component product unless it is produced in an establishment licensed by the CDFA. CDFA requires a license for each establishment that produces animal blood and blood products to market or sell for the use in the cure, mitigation, treatment or prevention of injury or disease in animals. The law requires the registration of each blood and blood product being produced and sold.  </w:t>
      </w:r>
    </w:p>
    <w:p w:rsidR="00E90267" w:rsidRDefault="00E90267" w:rsidP="000E3E70">
      <w:pPr>
        <w:numPr>
          <w:ilvl w:val="12"/>
          <w:numId w:val="0"/>
        </w:numPr>
        <w:tabs>
          <w:tab w:val="left" w:pos="-720"/>
        </w:tabs>
        <w:suppressAutoHyphens/>
        <w:spacing w:after="120"/>
        <w:jc w:val="both"/>
        <w:rPr>
          <w:rFonts w:ascii="Times New Roman" w:hAnsi="Times New Roman"/>
          <w:sz w:val="22"/>
          <w:szCs w:val="22"/>
        </w:rPr>
      </w:pPr>
    </w:p>
    <w:p w:rsidR="00E90267" w:rsidRDefault="00E90267" w:rsidP="000E3E70">
      <w:pPr>
        <w:numPr>
          <w:ilvl w:val="12"/>
          <w:numId w:val="0"/>
        </w:numPr>
        <w:tabs>
          <w:tab w:val="left" w:pos="-720"/>
        </w:tabs>
        <w:suppressAutoHyphens/>
        <w:spacing w:after="120"/>
        <w:jc w:val="both"/>
        <w:rPr>
          <w:rFonts w:ascii="Times New Roman" w:hAnsi="Times New Roman"/>
          <w:sz w:val="22"/>
          <w:szCs w:val="22"/>
        </w:rPr>
      </w:pPr>
    </w:p>
    <w:p w:rsidR="00E90267" w:rsidRDefault="00E90267" w:rsidP="000E3E70">
      <w:pPr>
        <w:numPr>
          <w:ilvl w:val="12"/>
          <w:numId w:val="0"/>
        </w:numPr>
        <w:tabs>
          <w:tab w:val="left" w:pos="-720"/>
        </w:tabs>
        <w:suppressAutoHyphens/>
        <w:spacing w:after="120"/>
        <w:jc w:val="both"/>
        <w:rPr>
          <w:rFonts w:ascii="Times New Roman" w:hAnsi="Times New Roman"/>
          <w:sz w:val="22"/>
          <w:szCs w:val="22"/>
        </w:rPr>
      </w:pPr>
    </w:p>
    <w:p w:rsidR="00E90267" w:rsidRDefault="00E90267" w:rsidP="000E3E70">
      <w:pPr>
        <w:numPr>
          <w:ilvl w:val="12"/>
          <w:numId w:val="0"/>
        </w:numPr>
        <w:tabs>
          <w:tab w:val="left" w:pos="-720"/>
        </w:tabs>
        <w:suppressAutoHyphens/>
        <w:spacing w:after="120"/>
        <w:jc w:val="both"/>
        <w:rPr>
          <w:rFonts w:ascii="Times New Roman" w:hAnsi="Times New Roman"/>
          <w:sz w:val="22"/>
          <w:szCs w:val="22"/>
        </w:rPr>
      </w:pPr>
    </w:p>
    <w:p w:rsidR="002555E7" w:rsidRDefault="006246D6" w:rsidP="002555E7">
      <w:pPr>
        <w:numPr>
          <w:ilvl w:val="12"/>
          <w:numId w:val="0"/>
        </w:numPr>
        <w:tabs>
          <w:tab w:val="left" w:pos="-720"/>
        </w:tabs>
        <w:suppressAutoHyphens/>
        <w:spacing w:after="240"/>
        <w:jc w:val="both"/>
        <w:rPr>
          <w:rFonts w:ascii="Times New Roman" w:eastAsia="Malgun Gothic" w:hAnsi="Times New Roman"/>
          <w:sz w:val="22"/>
          <w:szCs w:val="22"/>
          <w:u w:val="single"/>
        </w:rPr>
      </w:pPr>
      <w:r>
        <w:rPr>
          <w:rFonts w:ascii="Times New Roman" w:hAnsi="Times New Roman"/>
          <w:sz w:val="22"/>
          <w:szCs w:val="22"/>
        </w:rPr>
        <w:t>Additionally</w:t>
      </w:r>
      <w:r w:rsidR="000E3E70">
        <w:rPr>
          <w:rFonts w:ascii="Times New Roman" w:hAnsi="Times New Roman"/>
          <w:sz w:val="22"/>
          <w:szCs w:val="22"/>
        </w:rPr>
        <w:t xml:space="preserve"> u</w:t>
      </w:r>
      <w:r w:rsidR="00E27406" w:rsidRPr="002206F2">
        <w:rPr>
          <w:rFonts w:ascii="Times New Roman" w:hAnsi="Times New Roman"/>
          <w:sz w:val="22"/>
          <w:szCs w:val="22"/>
        </w:rPr>
        <w:t xml:space="preserve">nder the Board of Equalization’s regulation, </w:t>
      </w:r>
      <w:r w:rsidR="00E27406" w:rsidRPr="002206F2">
        <w:rPr>
          <w:rFonts w:ascii="Times New Roman" w:hAnsi="Times New Roman"/>
          <w:color w:val="000000"/>
          <w:sz w:val="22"/>
          <w:szCs w:val="22"/>
          <w:shd w:val="clear" w:color="auto" w:fill="FFFFFF"/>
        </w:rPr>
        <w:t>persons engaged in the business of rendering services are consumers, not retailers.</w:t>
      </w:r>
      <w:r w:rsidR="00E27406" w:rsidRPr="002206F2">
        <w:rPr>
          <w:rFonts w:ascii="Times New Roman" w:hAnsi="Times New Roman"/>
          <w:sz w:val="22"/>
          <w:szCs w:val="22"/>
        </w:rPr>
        <w:t xml:space="preserve"> If </w:t>
      </w:r>
      <w:r w:rsidR="00E27406" w:rsidRPr="002206F2">
        <w:rPr>
          <w:rFonts w:ascii="Times New Roman" w:hAnsi="Times New Roman"/>
          <w:color w:val="000000"/>
          <w:sz w:val="22"/>
          <w:szCs w:val="22"/>
          <w:shd w:val="clear" w:color="auto" w:fill="FFFFFF"/>
        </w:rPr>
        <w:t>the true object of the contract is the service, the transaction is not subject to tax even though some tangible personal property is transferred.</w:t>
      </w:r>
      <w:r w:rsidR="00F23353">
        <w:rPr>
          <w:rFonts w:ascii="Times New Roman" w:hAnsi="Times New Roman"/>
          <w:color w:val="000000"/>
          <w:sz w:val="22"/>
          <w:szCs w:val="22"/>
          <w:shd w:val="clear" w:color="auto" w:fill="FFFFFF"/>
        </w:rPr>
        <w:t xml:space="preserve"> </w:t>
      </w:r>
      <w:r>
        <w:rPr>
          <w:rFonts w:ascii="Times New Roman" w:hAnsi="Times New Roman"/>
          <w:color w:val="000000"/>
          <w:sz w:val="22"/>
          <w:szCs w:val="22"/>
          <w:shd w:val="clear" w:color="auto" w:fill="FFFFFF"/>
        </w:rPr>
        <w:t xml:space="preserve">With this clarification, </w:t>
      </w:r>
      <w:r w:rsidR="00E90267">
        <w:rPr>
          <w:rFonts w:ascii="Times New Roman" w:hAnsi="Times New Roman"/>
          <w:color w:val="000000"/>
          <w:sz w:val="22"/>
          <w:szCs w:val="22"/>
          <w:shd w:val="clear" w:color="auto" w:fill="FFFFFF"/>
        </w:rPr>
        <w:t xml:space="preserve">the services provided by </w:t>
      </w:r>
      <w:r>
        <w:rPr>
          <w:rFonts w:ascii="Times New Roman" w:hAnsi="Times New Roman"/>
          <w:color w:val="000000"/>
          <w:sz w:val="22"/>
          <w:szCs w:val="22"/>
          <w:shd w:val="clear" w:color="auto" w:fill="FFFFFF"/>
        </w:rPr>
        <w:t>animal blood banks should be seen in the same legal purview as human blood banks.</w:t>
      </w:r>
    </w:p>
    <w:p w:rsidR="005651A4" w:rsidRPr="002206F2" w:rsidRDefault="00A429C2" w:rsidP="004B25FE">
      <w:pPr>
        <w:jc w:val="both"/>
        <w:rPr>
          <w:rFonts w:ascii="Times New Roman" w:eastAsia="Malgun Gothic" w:hAnsi="Times New Roman"/>
          <w:sz w:val="22"/>
          <w:szCs w:val="22"/>
          <w:u w:val="single"/>
        </w:rPr>
      </w:pPr>
      <w:r w:rsidRPr="002206F2">
        <w:rPr>
          <w:rFonts w:ascii="Times New Roman" w:eastAsia="Malgun Gothic" w:hAnsi="Times New Roman"/>
          <w:sz w:val="22"/>
          <w:szCs w:val="22"/>
          <w:u w:val="single"/>
        </w:rPr>
        <w:t>THE SOLUTION</w:t>
      </w:r>
    </w:p>
    <w:p w:rsidR="007A19FA" w:rsidRPr="002206F2" w:rsidRDefault="007A19FA" w:rsidP="004B25FE">
      <w:pPr>
        <w:jc w:val="both"/>
        <w:rPr>
          <w:rFonts w:ascii="Times New Roman" w:eastAsia="Malgun Gothic" w:hAnsi="Times New Roman"/>
          <w:sz w:val="22"/>
          <w:szCs w:val="22"/>
          <w:u w:val="single"/>
        </w:rPr>
      </w:pPr>
    </w:p>
    <w:p w:rsidR="00831236" w:rsidRDefault="00467641" w:rsidP="004B25FE">
      <w:pPr>
        <w:jc w:val="both"/>
        <w:rPr>
          <w:rFonts w:ascii="Times New Roman" w:eastAsia="Malgun Gothic" w:hAnsi="Times New Roman"/>
          <w:sz w:val="22"/>
          <w:szCs w:val="22"/>
        </w:rPr>
      </w:pPr>
      <w:r>
        <w:rPr>
          <w:rFonts w:ascii="Times New Roman" w:eastAsia="Malgun Gothic" w:hAnsi="Times New Roman"/>
          <w:sz w:val="22"/>
          <w:szCs w:val="22"/>
        </w:rPr>
        <w:t>SB 898 would</w:t>
      </w:r>
      <w:r w:rsidR="001432AD">
        <w:rPr>
          <w:rFonts w:ascii="Times New Roman" w:eastAsia="Malgun Gothic" w:hAnsi="Times New Roman"/>
          <w:sz w:val="22"/>
          <w:szCs w:val="22"/>
        </w:rPr>
        <w:t xml:space="preserve"> </w:t>
      </w:r>
      <w:r w:rsidR="00831236" w:rsidRPr="00273A06">
        <w:rPr>
          <w:rFonts w:ascii="Times New Roman" w:eastAsia="Malgun Gothic" w:hAnsi="Times New Roman"/>
          <w:sz w:val="22"/>
          <w:szCs w:val="22"/>
        </w:rPr>
        <w:t xml:space="preserve">provide that a transfer of animal whole blood, plasma, blood products, and blood derivatives by a CDFA-licensed establishment </w:t>
      </w:r>
      <w:r>
        <w:rPr>
          <w:rFonts w:ascii="Times New Roman" w:eastAsia="Malgun Gothic" w:hAnsi="Times New Roman"/>
          <w:sz w:val="22"/>
          <w:szCs w:val="22"/>
        </w:rPr>
        <w:t xml:space="preserve">would </w:t>
      </w:r>
      <w:r w:rsidR="00831236" w:rsidRPr="00273A06">
        <w:rPr>
          <w:rFonts w:ascii="Times New Roman" w:eastAsia="Malgun Gothic" w:hAnsi="Times New Roman"/>
          <w:sz w:val="22"/>
          <w:szCs w:val="22"/>
        </w:rPr>
        <w:t>not</w:t>
      </w:r>
      <w:r>
        <w:rPr>
          <w:rFonts w:ascii="Times New Roman" w:eastAsia="Malgun Gothic" w:hAnsi="Times New Roman"/>
          <w:sz w:val="22"/>
          <w:szCs w:val="22"/>
        </w:rPr>
        <w:t xml:space="preserve"> be</w:t>
      </w:r>
      <w:r w:rsidR="00831236" w:rsidRPr="00273A06">
        <w:rPr>
          <w:rFonts w:ascii="Times New Roman" w:eastAsia="Malgun Gothic" w:hAnsi="Times New Roman"/>
          <w:sz w:val="22"/>
          <w:szCs w:val="22"/>
        </w:rPr>
        <w:t xml:space="preserve"> subject to</w:t>
      </w:r>
      <w:r w:rsidR="00EF2577">
        <w:rPr>
          <w:rFonts w:ascii="Times New Roman" w:eastAsia="Malgun Gothic" w:hAnsi="Times New Roman"/>
          <w:sz w:val="22"/>
          <w:szCs w:val="22"/>
        </w:rPr>
        <w:t xml:space="preserve"> </w:t>
      </w:r>
      <w:r w:rsidR="00831236" w:rsidRPr="00273A06">
        <w:rPr>
          <w:rFonts w:ascii="Times New Roman" w:eastAsia="Malgun Gothic" w:hAnsi="Times New Roman"/>
          <w:sz w:val="22"/>
          <w:szCs w:val="22"/>
        </w:rPr>
        <w:t xml:space="preserve">sales or use tax. </w:t>
      </w:r>
    </w:p>
    <w:p w:rsidR="00F23353" w:rsidRPr="002206F2" w:rsidRDefault="00F23353" w:rsidP="004B25FE">
      <w:pPr>
        <w:jc w:val="both"/>
        <w:rPr>
          <w:rFonts w:ascii="Times New Roman" w:eastAsia="Malgun Gothic" w:hAnsi="Times New Roman"/>
          <w:sz w:val="22"/>
          <w:szCs w:val="22"/>
          <w:u w:val="single"/>
        </w:rPr>
      </w:pPr>
    </w:p>
    <w:p w:rsidR="00771BCA" w:rsidRPr="002206F2" w:rsidRDefault="007A19FA" w:rsidP="004B25FE">
      <w:pPr>
        <w:jc w:val="both"/>
        <w:rPr>
          <w:rFonts w:ascii="Times New Roman" w:eastAsia="Malgun Gothic" w:hAnsi="Times New Roman"/>
          <w:sz w:val="22"/>
          <w:szCs w:val="22"/>
          <w:u w:val="single"/>
        </w:rPr>
      </w:pPr>
      <w:r w:rsidRPr="002206F2">
        <w:rPr>
          <w:rFonts w:ascii="Times New Roman" w:eastAsia="Malgun Gothic" w:hAnsi="Times New Roman"/>
          <w:sz w:val="22"/>
          <w:szCs w:val="22"/>
          <w:u w:val="single"/>
        </w:rPr>
        <w:t>FISCAL EFFECT</w:t>
      </w:r>
    </w:p>
    <w:p w:rsidR="00ED5835" w:rsidRPr="002206F2" w:rsidRDefault="00ED5835" w:rsidP="004B25FE">
      <w:pPr>
        <w:jc w:val="both"/>
        <w:rPr>
          <w:rFonts w:ascii="Times New Roman" w:eastAsia="Malgun Gothic" w:hAnsi="Times New Roman"/>
          <w:sz w:val="22"/>
          <w:szCs w:val="22"/>
          <w:u w:val="single"/>
        </w:rPr>
      </w:pPr>
    </w:p>
    <w:p w:rsidR="00771BCA" w:rsidRPr="002206F2" w:rsidRDefault="009E590A" w:rsidP="004B25FE">
      <w:pPr>
        <w:jc w:val="both"/>
        <w:rPr>
          <w:rFonts w:ascii="Times New Roman" w:eastAsia="Malgun Gothic" w:hAnsi="Times New Roman"/>
          <w:sz w:val="22"/>
          <w:szCs w:val="22"/>
        </w:rPr>
      </w:pPr>
      <w:r w:rsidRPr="002206F2">
        <w:rPr>
          <w:rFonts w:ascii="Times New Roman" w:eastAsia="Malgun Gothic" w:hAnsi="Times New Roman"/>
          <w:sz w:val="22"/>
          <w:szCs w:val="22"/>
        </w:rPr>
        <w:t>Unknown at this time</w:t>
      </w:r>
    </w:p>
    <w:p w:rsidR="006D7EA6" w:rsidRPr="002206F2" w:rsidRDefault="006D7EA6" w:rsidP="004B25FE">
      <w:pPr>
        <w:jc w:val="both"/>
        <w:rPr>
          <w:rFonts w:ascii="Times New Roman" w:eastAsia="Malgun Gothic" w:hAnsi="Times New Roman"/>
          <w:sz w:val="22"/>
          <w:szCs w:val="22"/>
          <w:u w:val="single"/>
        </w:rPr>
      </w:pPr>
    </w:p>
    <w:p w:rsidR="00771544" w:rsidRPr="002206F2" w:rsidRDefault="005651A4" w:rsidP="004B25FE">
      <w:pPr>
        <w:jc w:val="both"/>
        <w:rPr>
          <w:rFonts w:ascii="Times New Roman" w:eastAsia="Malgun Gothic" w:hAnsi="Times New Roman"/>
          <w:sz w:val="22"/>
          <w:szCs w:val="22"/>
          <w:u w:val="single"/>
        </w:rPr>
      </w:pPr>
      <w:r w:rsidRPr="002206F2">
        <w:rPr>
          <w:rFonts w:ascii="Times New Roman" w:eastAsia="Malgun Gothic" w:hAnsi="Times New Roman"/>
          <w:sz w:val="22"/>
          <w:szCs w:val="22"/>
          <w:u w:val="single"/>
        </w:rPr>
        <w:t>SPONSOR</w:t>
      </w:r>
    </w:p>
    <w:p w:rsidR="002051CB" w:rsidRPr="002206F2" w:rsidRDefault="002051CB" w:rsidP="004B25FE">
      <w:pPr>
        <w:jc w:val="both"/>
        <w:rPr>
          <w:rFonts w:ascii="Times New Roman" w:eastAsia="Malgun Gothic" w:hAnsi="Times New Roman"/>
          <w:sz w:val="22"/>
          <w:szCs w:val="22"/>
        </w:rPr>
      </w:pPr>
    </w:p>
    <w:p w:rsidR="00771544" w:rsidRPr="002206F2" w:rsidRDefault="00AD1967" w:rsidP="004B25FE">
      <w:pPr>
        <w:jc w:val="both"/>
        <w:rPr>
          <w:rFonts w:ascii="Times New Roman" w:eastAsia="Malgun Gothic" w:hAnsi="Times New Roman"/>
          <w:sz w:val="22"/>
          <w:szCs w:val="22"/>
          <w:u w:val="single"/>
        </w:rPr>
      </w:pPr>
      <w:r>
        <w:rPr>
          <w:rFonts w:ascii="Times New Roman" w:eastAsia="Malgun Gothic" w:hAnsi="Times New Roman"/>
          <w:sz w:val="22"/>
          <w:szCs w:val="22"/>
        </w:rPr>
        <w:t>Author</w:t>
      </w:r>
    </w:p>
    <w:p w:rsidR="00D2630C" w:rsidRPr="002206F2" w:rsidRDefault="00D2630C" w:rsidP="004B25FE">
      <w:pPr>
        <w:jc w:val="both"/>
        <w:rPr>
          <w:rFonts w:ascii="Times New Roman" w:eastAsia="Malgun Gothic" w:hAnsi="Times New Roman"/>
          <w:sz w:val="22"/>
          <w:szCs w:val="22"/>
          <w:u w:val="single"/>
        </w:rPr>
      </w:pPr>
    </w:p>
    <w:p w:rsidR="005651A4" w:rsidRPr="002206F2" w:rsidRDefault="004D3942" w:rsidP="004B25FE">
      <w:pPr>
        <w:jc w:val="both"/>
        <w:rPr>
          <w:rFonts w:ascii="Times New Roman" w:eastAsia="Malgun Gothic" w:hAnsi="Times New Roman"/>
          <w:sz w:val="22"/>
          <w:szCs w:val="22"/>
          <w:u w:val="single"/>
        </w:rPr>
      </w:pPr>
      <w:r w:rsidRPr="002206F2">
        <w:rPr>
          <w:rFonts w:ascii="Times New Roman" w:eastAsia="Malgun Gothic" w:hAnsi="Times New Roman"/>
          <w:sz w:val="22"/>
          <w:szCs w:val="22"/>
          <w:u w:val="single"/>
        </w:rPr>
        <w:t>CONTACT</w:t>
      </w:r>
    </w:p>
    <w:p w:rsidR="005651A4" w:rsidRPr="002206F2" w:rsidRDefault="00080DA2" w:rsidP="004B25FE">
      <w:pPr>
        <w:jc w:val="both"/>
        <w:rPr>
          <w:rFonts w:ascii="Times New Roman" w:eastAsia="Malgun Gothic" w:hAnsi="Times New Roman"/>
          <w:sz w:val="22"/>
          <w:szCs w:val="22"/>
        </w:rPr>
      </w:pPr>
      <w:r w:rsidRPr="002206F2">
        <w:rPr>
          <w:rFonts w:ascii="Times New Roman" w:eastAsia="Malgun Gothic" w:hAnsi="Times New Roman"/>
          <w:sz w:val="22"/>
          <w:szCs w:val="22"/>
        </w:rPr>
        <w:t>Cameron Demetre</w:t>
      </w:r>
    </w:p>
    <w:p w:rsidR="00985922" w:rsidRPr="002206F2" w:rsidRDefault="00080DA2" w:rsidP="004B25FE">
      <w:pPr>
        <w:jc w:val="both"/>
        <w:rPr>
          <w:rFonts w:ascii="Times New Roman" w:eastAsia="Malgun Gothic" w:hAnsi="Times New Roman"/>
          <w:sz w:val="22"/>
          <w:szCs w:val="22"/>
        </w:rPr>
      </w:pPr>
      <w:r w:rsidRPr="002206F2">
        <w:rPr>
          <w:rFonts w:ascii="Times New Roman" w:eastAsia="Malgun Gothic" w:hAnsi="Times New Roman"/>
          <w:sz w:val="22"/>
          <w:szCs w:val="22"/>
        </w:rPr>
        <w:t>(916) 651-</w:t>
      </w:r>
      <w:r w:rsidR="009E590A" w:rsidRPr="002206F2">
        <w:rPr>
          <w:rFonts w:ascii="Times New Roman" w:eastAsia="Malgun Gothic" w:hAnsi="Times New Roman"/>
          <w:sz w:val="22"/>
          <w:szCs w:val="22"/>
        </w:rPr>
        <w:t>4034</w:t>
      </w:r>
    </w:p>
    <w:p w:rsidR="00080DA2" w:rsidRPr="00B4532B" w:rsidRDefault="00AD1967" w:rsidP="00B4532B">
      <w:pPr>
        <w:jc w:val="both"/>
        <w:rPr>
          <w:rFonts w:ascii="Times New Roman" w:eastAsia="Malgun Gothic" w:hAnsi="Times New Roman"/>
          <w:sz w:val="22"/>
          <w:szCs w:val="22"/>
        </w:rPr>
      </w:pPr>
      <w:hyperlink r:id="rId8" w:history="1">
        <w:r w:rsidR="00080DA2" w:rsidRPr="00E27406">
          <w:rPr>
            <w:rStyle w:val="Hyperlink"/>
            <w:rFonts w:ascii="Times New Roman" w:eastAsia="Malgun Gothic" w:hAnsi="Times New Roman"/>
            <w:sz w:val="22"/>
            <w:szCs w:val="22"/>
          </w:rPr>
          <w:t>cameron.demetre@sen.ca.gov</w:t>
        </w:r>
      </w:hyperlink>
    </w:p>
    <w:sectPr w:rsidR="00080DA2" w:rsidRPr="00B4532B" w:rsidSect="0005240C">
      <w:headerReference w:type="default" r:id="rId9"/>
      <w:footerReference w:type="default" r:id="rId10"/>
      <w:pgSz w:w="12240" w:h="15840" w:code="1"/>
      <w:pgMar w:top="576" w:right="576" w:bottom="576" w:left="576" w:header="360" w:footer="360" w:gutter="0"/>
      <w:cols w:num="2"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DD3" w:rsidRDefault="000E0DD3" w:rsidP="005651A4">
      <w:r>
        <w:separator/>
      </w:r>
    </w:p>
  </w:endnote>
  <w:endnote w:type="continuationSeparator" w:id="0">
    <w:p w:rsidR="000E0DD3" w:rsidRDefault="000E0DD3" w:rsidP="00565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647" w:rsidRPr="00F47EA9" w:rsidRDefault="005D5647" w:rsidP="00771BCA">
    <w:pPr>
      <w:pStyle w:val="Footer"/>
      <w:pBdr>
        <w:top w:val="thinThickSmallGap" w:sz="24" w:space="1" w:color="622423"/>
      </w:pBdr>
      <w:tabs>
        <w:tab w:val="clear" w:pos="4680"/>
        <w:tab w:val="clear" w:pos="9360"/>
        <w:tab w:val="left" w:pos="6225"/>
        <w:tab w:val="right" w:pos="10800"/>
      </w:tabs>
      <w:rPr>
        <w:rFonts w:ascii="Cambria" w:hAnsi="Cambria"/>
      </w:rPr>
    </w:pPr>
    <w:r>
      <w:rPr>
        <w:rFonts w:ascii="Cambria" w:hAnsi="Cambria"/>
      </w:rPr>
      <w:t xml:space="preserve">Office of Senator Janet Nguyen, Room 3048 </w:t>
    </w:r>
    <w:r>
      <w:rPr>
        <w:rFonts w:ascii="Cambria" w:hAnsi="Cambria"/>
      </w:rPr>
      <w:tab/>
      <w:t xml:space="preserve">                                           </w:t>
    </w:r>
    <w:r>
      <w:rPr>
        <w:rFonts w:ascii="Cambria" w:hAnsi="Cambria"/>
      </w:rPr>
      <w:tab/>
      <w:t xml:space="preserve">   Page 1</w:t>
    </w:r>
  </w:p>
  <w:p w:rsidR="005D5647" w:rsidRPr="00F47EA9" w:rsidRDefault="005D5647">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DD3" w:rsidRDefault="000E0DD3" w:rsidP="005651A4">
      <w:r>
        <w:separator/>
      </w:r>
    </w:p>
  </w:footnote>
  <w:footnote w:type="continuationSeparator" w:id="0">
    <w:p w:rsidR="000E0DD3" w:rsidRDefault="000E0DD3" w:rsidP="005651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647" w:rsidRPr="00BC02B9" w:rsidRDefault="005D5647" w:rsidP="00BC02B9">
    <w:pPr>
      <w:pStyle w:val="Header"/>
      <w:jc w:val="center"/>
    </w:pPr>
    <w:r>
      <w:rPr>
        <w:noProof/>
      </w:rPr>
      <w:drawing>
        <wp:inline distT="0" distB="0" distL="0" distR="0" wp14:anchorId="43BA18C3" wp14:editId="5554D22C">
          <wp:extent cx="4870764" cy="995039"/>
          <wp:effectExtent l="0" t="0" r="6350" b="0"/>
          <wp:docPr id="1" name="Picture 1" descr="Header, Janet Nguy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 Janet Nguy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6640" cy="1002368"/>
                  </a:xfrm>
                  <a:prstGeom prst="rect">
                    <a:avLst/>
                  </a:prstGeom>
                  <a:noFill/>
                  <a:ln>
                    <a:noFill/>
                  </a:ln>
                  <a:effectLst/>
                </pic:spPr>
              </pic:pic>
            </a:graphicData>
          </a:graphic>
        </wp:inline>
      </w:drawing>
    </w:r>
  </w:p>
  <w:p w:rsidR="005D5647" w:rsidRPr="00080DA2" w:rsidRDefault="005D5647" w:rsidP="00771BCA">
    <w:pPr>
      <w:jc w:val="center"/>
      <w:rPr>
        <w:rFonts w:asciiTheme="minorHAnsi" w:eastAsia="Malgun Gothic" w:hAnsiTheme="minorHAnsi"/>
        <w:b/>
        <w:color w:val="FF0000"/>
        <w:sz w:val="28"/>
        <w:szCs w:val="24"/>
      </w:rPr>
    </w:pPr>
    <w:r>
      <w:rPr>
        <w:rFonts w:asciiTheme="minorHAnsi" w:eastAsia="Malgun Gothic" w:hAnsiTheme="minorHAnsi"/>
        <w:b/>
        <w:sz w:val="28"/>
        <w:szCs w:val="24"/>
      </w:rPr>
      <w:t>SB</w:t>
    </w:r>
    <w:r w:rsidRPr="00CA5606">
      <w:rPr>
        <w:rFonts w:asciiTheme="minorHAnsi" w:eastAsia="Malgun Gothic" w:hAnsiTheme="minorHAnsi"/>
        <w:b/>
        <w:sz w:val="28"/>
        <w:szCs w:val="24"/>
      </w:rPr>
      <w:t xml:space="preserve"> </w:t>
    </w:r>
    <w:r w:rsidR="00113D07" w:rsidRPr="00CA5606">
      <w:rPr>
        <w:rFonts w:asciiTheme="minorHAnsi" w:eastAsia="Malgun Gothic" w:hAnsiTheme="minorHAnsi"/>
        <w:b/>
        <w:sz w:val="28"/>
        <w:szCs w:val="24"/>
      </w:rPr>
      <w:t>89</w:t>
    </w:r>
    <w:r w:rsidR="00113D07">
      <w:rPr>
        <w:rFonts w:asciiTheme="minorHAnsi" w:eastAsia="Malgun Gothic" w:hAnsiTheme="minorHAnsi"/>
        <w:b/>
        <w:sz w:val="28"/>
        <w:szCs w:val="24"/>
      </w:rPr>
      <w:t>8</w:t>
    </w:r>
    <w:r w:rsidR="00113D07" w:rsidRPr="00CA5606">
      <w:rPr>
        <w:rFonts w:asciiTheme="minorHAnsi" w:eastAsia="Malgun Gothic" w:hAnsiTheme="minorHAnsi"/>
        <w:b/>
        <w:sz w:val="28"/>
        <w:szCs w:val="24"/>
      </w:rPr>
      <w:t xml:space="preserve"> </w:t>
    </w:r>
  </w:p>
  <w:p w:rsidR="005D5647" w:rsidRPr="00080DA2" w:rsidRDefault="00113D07" w:rsidP="00771BCA">
    <w:pPr>
      <w:jc w:val="center"/>
      <w:rPr>
        <w:rFonts w:asciiTheme="minorHAnsi" w:eastAsia="Malgun Gothic" w:hAnsiTheme="minorHAnsi"/>
        <w:b/>
        <w:color w:val="000000" w:themeColor="text1"/>
        <w:szCs w:val="24"/>
      </w:rPr>
    </w:pPr>
    <w:r>
      <w:rPr>
        <w:rFonts w:asciiTheme="minorHAnsi" w:eastAsia="Malgun Gothic" w:hAnsiTheme="minorHAnsi"/>
        <w:b/>
        <w:color w:val="000000" w:themeColor="text1"/>
        <w:sz w:val="28"/>
        <w:szCs w:val="24"/>
      </w:rPr>
      <w:t>Animal Blood Banks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trackRevision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F11"/>
    <w:rsid w:val="00024D91"/>
    <w:rsid w:val="000274F3"/>
    <w:rsid w:val="00041EA0"/>
    <w:rsid w:val="00042A46"/>
    <w:rsid w:val="0005240C"/>
    <w:rsid w:val="00080DA2"/>
    <w:rsid w:val="00093401"/>
    <w:rsid w:val="000A083D"/>
    <w:rsid w:val="000B2432"/>
    <w:rsid w:val="000B3128"/>
    <w:rsid w:val="000C0915"/>
    <w:rsid w:val="000C3F81"/>
    <w:rsid w:val="000E0DD3"/>
    <w:rsid w:val="000E1160"/>
    <w:rsid w:val="000E3E70"/>
    <w:rsid w:val="000F238F"/>
    <w:rsid w:val="001069A5"/>
    <w:rsid w:val="00113D07"/>
    <w:rsid w:val="00121A3B"/>
    <w:rsid w:val="001432AD"/>
    <w:rsid w:val="001442AA"/>
    <w:rsid w:val="00162E7C"/>
    <w:rsid w:val="00163ED2"/>
    <w:rsid w:val="00171E65"/>
    <w:rsid w:val="001801DF"/>
    <w:rsid w:val="00185A60"/>
    <w:rsid w:val="001A5E17"/>
    <w:rsid w:val="001A5F0D"/>
    <w:rsid w:val="001C356C"/>
    <w:rsid w:val="001D1CE3"/>
    <w:rsid w:val="002051CB"/>
    <w:rsid w:val="002206F2"/>
    <w:rsid w:val="00241B3D"/>
    <w:rsid w:val="00253073"/>
    <w:rsid w:val="002555E7"/>
    <w:rsid w:val="002609CD"/>
    <w:rsid w:val="00273A06"/>
    <w:rsid w:val="002B3BBF"/>
    <w:rsid w:val="0032682C"/>
    <w:rsid w:val="00356275"/>
    <w:rsid w:val="00384500"/>
    <w:rsid w:val="003846A9"/>
    <w:rsid w:val="00397E63"/>
    <w:rsid w:val="003B20CF"/>
    <w:rsid w:val="003D7C1D"/>
    <w:rsid w:val="003F5B12"/>
    <w:rsid w:val="00406900"/>
    <w:rsid w:val="00450F50"/>
    <w:rsid w:val="00457052"/>
    <w:rsid w:val="00460EDD"/>
    <w:rsid w:val="004658FF"/>
    <w:rsid w:val="00467641"/>
    <w:rsid w:val="00482CA3"/>
    <w:rsid w:val="00492342"/>
    <w:rsid w:val="004966EA"/>
    <w:rsid w:val="004A517F"/>
    <w:rsid w:val="004B25FE"/>
    <w:rsid w:val="004C64BA"/>
    <w:rsid w:val="004D3942"/>
    <w:rsid w:val="004E2238"/>
    <w:rsid w:val="004E4623"/>
    <w:rsid w:val="00516752"/>
    <w:rsid w:val="00530030"/>
    <w:rsid w:val="005310E4"/>
    <w:rsid w:val="00544743"/>
    <w:rsid w:val="005651A4"/>
    <w:rsid w:val="00591A14"/>
    <w:rsid w:val="005D5647"/>
    <w:rsid w:val="005E5D0F"/>
    <w:rsid w:val="005F1DFC"/>
    <w:rsid w:val="00602B6D"/>
    <w:rsid w:val="00623EFC"/>
    <w:rsid w:val="006246D6"/>
    <w:rsid w:val="00657BAC"/>
    <w:rsid w:val="00665102"/>
    <w:rsid w:val="006D0479"/>
    <w:rsid w:val="006D7EA6"/>
    <w:rsid w:val="006E3945"/>
    <w:rsid w:val="00700C61"/>
    <w:rsid w:val="0070382D"/>
    <w:rsid w:val="00721FFC"/>
    <w:rsid w:val="00754AC0"/>
    <w:rsid w:val="00765D04"/>
    <w:rsid w:val="007660A8"/>
    <w:rsid w:val="00771544"/>
    <w:rsid w:val="00771928"/>
    <w:rsid w:val="00771BCA"/>
    <w:rsid w:val="007823F8"/>
    <w:rsid w:val="00787FD3"/>
    <w:rsid w:val="007A19FA"/>
    <w:rsid w:val="007A25BA"/>
    <w:rsid w:val="007D4E51"/>
    <w:rsid w:val="007E5486"/>
    <w:rsid w:val="007E6868"/>
    <w:rsid w:val="007E710F"/>
    <w:rsid w:val="007E7CCE"/>
    <w:rsid w:val="00831236"/>
    <w:rsid w:val="00840849"/>
    <w:rsid w:val="00856446"/>
    <w:rsid w:val="008611D0"/>
    <w:rsid w:val="008A14CD"/>
    <w:rsid w:val="008A3614"/>
    <w:rsid w:val="008D0264"/>
    <w:rsid w:val="008D2366"/>
    <w:rsid w:val="008D5273"/>
    <w:rsid w:val="008E0D4A"/>
    <w:rsid w:val="008F783E"/>
    <w:rsid w:val="00922DF1"/>
    <w:rsid w:val="00922E19"/>
    <w:rsid w:val="00951A1B"/>
    <w:rsid w:val="00980427"/>
    <w:rsid w:val="00981661"/>
    <w:rsid w:val="00982090"/>
    <w:rsid w:val="00985922"/>
    <w:rsid w:val="009C14E2"/>
    <w:rsid w:val="009D19E0"/>
    <w:rsid w:val="009E590A"/>
    <w:rsid w:val="00A429C2"/>
    <w:rsid w:val="00A449C8"/>
    <w:rsid w:val="00A56611"/>
    <w:rsid w:val="00AD1967"/>
    <w:rsid w:val="00AD5659"/>
    <w:rsid w:val="00AF514E"/>
    <w:rsid w:val="00B236EE"/>
    <w:rsid w:val="00B23977"/>
    <w:rsid w:val="00B31055"/>
    <w:rsid w:val="00B37D50"/>
    <w:rsid w:val="00B4532B"/>
    <w:rsid w:val="00BA1285"/>
    <w:rsid w:val="00BC02B9"/>
    <w:rsid w:val="00BE4093"/>
    <w:rsid w:val="00C16A5E"/>
    <w:rsid w:val="00C31205"/>
    <w:rsid w:val="00C46AAF"/>
    <w:rsid w:val="00C87EA1"/>
    <w:rsid w:val="00CA5606"/>
    <w:rsid w:val="00CD5856"/>
    <w:rsid w:val="00D070CB"/>
    <w:rsid w:val="00D077D8"/>
    <w:rsid w:val="00D123DA"/>
    <w:rsid w:val="00D1729D"/>
    <w:rsid w:val="00D2630C"/>
    <w:rsid w:val="00D96757"/>
    <w:rsid w:val="00DB0F01"/>
    <w:rsid w:val="00DC6950"/>
    <w:rsid w:val="00E21F5B"/>
    <w:rsid w:val="00E27406"/>
    <w:rsid w:val="00E477B6"/>
    <w:rsid w:val="00E47FEB"/>
    <w:rsid w:val="00E7138B"/>
    <w:rsid w:val="00E8540F"/>
    <w:rsid w:val="00E90267"/>
    <w:rsid w:val="00E973D9"/>
    <w:rsid w:val="00EA4AC8"/>
    <w:rsid w:val="00EB7E9C"/>
    <w:rsid w:val="00ED082F"/>
    <w:rsid w:val="00ED5835"/>
    <w:rsid w:val="00EE59AA"/>
    <w:rsid w:val="00EF2577"/>
    <w:rsid w:val="00F14F11"/>
    <w:rsid w:val="00F15308"/>
    <w:rsid w:val="00F23353"/>
    <w:rsid w:val="00F25447"/>
    <w:rsid w:val="00F80B05"/>
    <w:rsid w:val="00F849CD"/>
    <w:rsid w:val="00F95BA3"/>
    <w:rsid w:val="00F97E3A"/>
    <w:rsid w:val="00FA03E5"/>
    <w:rsid w:val="00FA14F2"/>
    <w:rsid w:val="00FB394F"/>
    <w:rsid w:val="00FE45F6"/>
    <w:rsid w:val="00FE69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1A4"/>
    <w:pPr>
      <w:spacing w:after="0"/>
    </w:pPr>
    <w:rPr>
      <w:rFonts w:ascii="Arial Narrow" w:eastAsia="Times New Roman" w:hAnsi="Arial Narro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51A4"/>
    <w:pPr>
      <w:tabs>
        <w:tab w:val="center" w:pos="4680"/>
        <w:tab w:val="right" w:pos="9360"/>
      </w:tabs>
    </w:pPr>
  </w:style>
  <w:style w:type="character" w:customStyle="1" w:styleId="HeaderChar">
    <w:name w:val="Header Char"/>
    <w:basedOn w:val="DefaultParagraphFont"/>
    <w:link w:val="Header"/>
    <w:uiPriority w:val="99"/>
    <w:rsid w:val="005651A4"/>
    <w:rPr>
      <w:rFonts w:ascii="Arial Narrow" w:eastAsia="Times New Roman" w:hAnsi="Arial Narrow"/>
      <w:sz w:val="24"/>
    </w:rPr>
  </w:style>
  <w:style w:type="paragraph" w:styleId="Footer">
    <w:name w:val="footer"/>
    <w:basedOn w:val="Normal"/>
    <w:link w:val="FooterChar"/>
    <w:uiPriority w:val="99"/>
    <w:unhideWhenUsed/>
    <w:rsid w:val="005651A4"/>
    <w:pPr>
      <w:tabs>
        <w:tab w:val="center" w:pos="4680"/>
        <w:tab w:val="right" w:pos="9360"/>
      </w:tabs>
    </w:pPr>
  </w:style>
  <w:style w:type="character" w:customStyle="1" w:styleId="FooterChar">
    <w:name w:val="Footer Char"/>
    <w:basedOn w:val="DefaultParagraphFont"/>
    <w:link w:val="Footer"/>
    <w:uiPriority w:val="99"/>
    <w:rsid w:val="005651A4"/>
    <w:rPr>
      <w:rFonts w:ascii="Arial Narrow" w:eastAsia="Times New Roman" w:hAnsi="Arial Narrow"/>
      <w:sz w:val="24"/>
    </w:rPr>
  </w:style>
  <w:style w:type="character" w:styleId="Hyperlink">
    <w:name w:val="Hyperlink"/>
    <w:uiPriority w:val="99"/>
    <w:unhideWhenUsed/>
    <w:rsid w:val="005651A4"/>
    <w:rPr>
      <w:color w:val="0000FF"/>
      <w:u w:val="single"/>
    </w:rPr>
  </w:style>
  <w:style w:type="paragraph" w:styleId="BalloonText">
    <w:name w:val="Balloon Text"/>
    <w:basedOn w:val="Normal"/>
    <w:link w:val="BalloonTextChar"/>
    <w:uiPriority w:val="99"/>
    <w:semiHidden/>
    <w:unhideWhenUsed/>
    <w:rsid w:val="005651A4"/>
    <w:rPr>
      <w:rFonts w:ascii="Tahoma" w:hAnsi="Tahoma" w:cs="Tahoma"/>
      <w:sz w:val="16"/>
      <w:szCs w:val="16"/>
    </w:rPr>
  </w:style>
  <w:style w:type="character" w:customStyle="1" w:styleId="BalloonTextChar">
    <w:name w:val="Balloon Text Char"/>
    <w:basedOn w:val="DefaultParagraphFont"/>
    <w:link w:val="BalloonText"/>
    <w:uiPriority w:val="99"/>
    <w:semiHidden/>
    <w:rsid w:val="005651A4"/>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E7138B"/>
    <w:rPr>
      <w:sz w:val="16"/>
      <w:szCs w:val="16"/>
    </w:rPr>
  </w:style>
  <w:style w:type="paragraph" w:styleId="CommentText">
    <w:name w:val="annotation text"/>
    <w:basedOn w:val="Normal"/>
    <w:link w:val="CommentTextChar"/>
    <w:uiPriority w:val="99"/>
    <w:semiHidden/>
    <w:unhideWhenUsed/>
    <w:rsid w:val="00E7138B"/>
    <w:rPr>
      <w:sz w:val="20"/>
    </w:rPr>
  </w:style>
  <w:style w:type="character" w:customStyle="1" w:styleId="CommentTextChar">
    <w:name w:val="Comment Text Char"/>
    <w:basedOn w:val="DefaultParagraphFont"/>
    <w:link w:val="CommentText"/>
    <w:uiPriority w:val="99"/>
    <w:semiHidden/>
    <w:rsid w:val="00E7138B"/>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E7138B"/>
    <w:rPr>
      <w:b/>
      <w:bCs/>
    </w:rPr>
  </w:style>
  <w:style w:type="character" w:customStyle="1" w:styleId="CommentSubjectChar">
    <w:name w:val="Comment Subject Char"/>
    <w:basedOn w:val="CommentTextChar"/>
    <w:link w:val="CommentSubject"/>
    <w:uiPriority w:val="99"/>
    <w:semiHidden/>
    <w:rsid w:val="00E7138B"/>
    <w:rPr>
      <w:rFonts w:ascii="Arial Narrow" w:eastAsia="Times New Roman" w:hAnsi="Arial Narrow"/>
      <w:b/>
      <w:bCs/>
    </w:rPr>
  </w:style>
  <w:style w:type="paragraph" w:styleId="HTMLPreformatted">
    <w:name w:val="HTML Preformatted"/>
    <w:basedOn w:val="Normal"/>
    <w:link w:val="HTMLPreformattedChar"/>
    <w:uiPriority w:val="99"/>
    <w:unhideWhenUsed/>
    <w:rsid w:val="005F1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5F1DFC"/>
    <w:rPr>
      <w:rFonts w:ascii="Courier New" w:eastAsia="Times New Roman" w:hAnsi="Courier New" w:cs="Courier New"/>
    </w:rPr>
  </w:style>
  <w:style w:type="paragraph" w:styleId="FootnoteText">
    <w:name w:val="footnote text"/>
    <w:basedOn w:val="Normal"/>
    <w:link w:val="FootnoteTextChar"/>
    <w:unhideWhenUsed/>
    <w:rsid w:val="00F95BA3"/>
    <w:rPr>
      <w:rFonts w:ascii="Times New Roman" w:eastAsiaTheme="minorEastAsia" w:hAnsi="Times New Roman"/>
      <w:sz w:val="20"/>
    </w:rPr>
  </w:style>
  <w:style w:type="character" w:customStyle="1" w:styleId="FootnoteTextChar">
    <w:name w:val="Footnote Text Char"/>
    <w:basedOn w:val="DefaultParagraphFont"/>
    <w:link w:val="FootnoteText"/>
    <w:rsid w:val="00F95BA3"/>
    <w:rPr>
      <w:rFonts w:eastAsiaTheme="minorEastAsia"/>
    </w:rPr>
  </w:style>
  <w:style w:type="character" w:styleId="FootnoteReference">
    <w:name w:val="footnote reference"/>
    <w:basedOn w:val="DefaultParagraphFont"/>
    <w:uiPriority w:val="99"/>
    <w:unhideWhenUsed/>
    <w:rsid w:val="00F95BA3"/>
    <w:rPr>
      <w:vertAlign w:val="superscript"/>
    </w:rPr>
  </w:style>
  <w:style w:type="character" w:styleId="FollowedHyperlink">
    <w:name w:val="FollowedHyperlink"/>
    <w:basedOn w:val="DefaultParagraphFont"/>
    <w:uiPriority w:val="99"/>
    <w:semiHidden/>
    <w:unhideWhenUsed/>
    <w:rsid w:val="00951A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1A4"/>
    <w:pPr>
      <w:spacing w:after="0"/>
    </w:pPr>
    <w:rPr>
      <w:rFonts w:ascii="Arial Narrow" w:eastAsia="Times New Roman" w:hAnsi="Arial Narro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51A4"/>
    <w:pPr>
      <w:tabs>
        <w:tab w:val="center" w:pos="4680"/>
        <w:tab w:val="right" w:pos="9360"/>
      </w:tabs>
    </w:pPr>
  </w:style>
  <w:style w:type="character" w:customStyle="1" w:styleId="HeaderChar">
    <w:name w:val="Header Char"/>
    <w:basedOn w:val="DefaultParagraphFont"/>
    <w:link w:val="Header"/>
    <w:uiPriority w:val="99"/>
    <w:rsid w:val="005651A4"/>
    <w:rPr>
      <w:rFonts w:ascii="Arial Narrow" w:eastAsia="Times New Roman" w:hAnsi="Arial Narrow"/>
      <w:sz w:val="24"/>
    </w:rPr>
  </w:style>
  <w:style w:type="paragraph" w:styleId="Footer">
    <w:name w:val="footer"/>
    <w:basedOn w:val="Normal"/>
    <w:link w:val="FooterChar"/>
    <w:uiPriority w:val="99"/>
    <w:unhideWhenUsed/>
    <w:rsid w:val="005651A4"/>
    <w:pPr>
      <w:tabs>
        <w:tab w:val="center" w:pos="4680"/>
        <w:tab w:val="right" w:pos="9360"/>
      </w:tabs>
    </w:pPr>
  </w:style>
  <w:style w:type="character" w:customStyle="1" w:styleId="FooterChar">
    <w:name w:val="Footer Char"/>
    <w:basedOn w:val="DefaultParagraphFont"/>
    <w:link w:val="Footer"/>
    <w:uiPriority w:val="99"/>
    <w:rsid w:val="005651A4"/>
    <w:rPr>
      <w:rFonts w:ascii="Arial Narrow" w:eastAsia="Times New Roman" w:hAnsi="Arial Narrow"/>
      <w:sz w:val="24"/>
    </w:rPr>
  </w:style>
  <w:style w:type="character" w:styleId="Hyperlink">
    <w:name w:val="Hyperlink"/>
    <w:uiPriority w:val="99"/>
    <w:unhideWhenUsed/>
    <w:rsid w:val="005651A4"/>
    <w:rPr>
      <w:color w:val="0000FF"/>
      <w:u w:val="single"/>
    </w:rPr>
  </w:style>
  <w:style w:type="paragraph" w:styleId="BalloonText">
    <w:name w:val="Balloon Text"/>
    <w:basedOn w:val="Normal"/>
    <w:link w:val="BalloonTextChar"/>
    <w:uiPriority w:val="99"/>
    <w:semiHidden/>
    <w:unhideWhenUsed/>
    <w:rsid w:val="005651A4"/>
    <w:rPr>
      <w:rFonts w:ascii="Tahoma" w:hAnsi="Tahoma" w:cs="Tahoma"/>
      <w:sz w:val="16"/>
      <w:szCs w:val="16"/>
    </w:rPr>
  </w:style>
  <w:style w:type="character" w:customStyle="1" w:styleId="BalloonTextChar">
    <w:name w:val="Balloon Text Char"/>
    <w:basedOn w:val="DefaultParagraphFont"/>
    <w:link w:val="BalloonText"/>
    <w:uiPriority w:val="99"/>
    <w:semiHidden/>
    <w:rsid w:val="005651A4"/>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E7138B"/>
    <w:rPr>
      <w:sz w:val="16"/>
      <w:szCs w:val="16"/>
    </w:rPr>
  </w:style>
  <w:style w:type="paragraph" w:styleId="CommentText">
    <w:name w:val="annotation text"/>
    <w:basedOn w:val="Normal"/>
    <w:link w:val="CommentTextChar"/>
    <w:uiPriority w:val="99"/>
    <w:semiHidden/>
    <w:unhideWhenUsed/>
    <w:rsid w:val="00E7138B"/>
    <w:rPr>
      <w:sz w:val="20"/>
    </w:rPr>
  </w:style>
  <w:style w:type="character" w:customStyle="1" w:styleId="CommentTextChar">
    <w:name w:val="Comment Text Char"/>
    <w:basedOn w:val="DefaultParagraphFont"/>
    <w:link w:val="CommentText"/>
    <w:uiPriority w:val="99"/>
    <w:semiHidden/>
    <w:rsid w:val="00E7138B"/>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E7138B"/>
    <w:rPr>
      <w:b/>
      <w:bCs/>
    </w:rPr>
  </w:style>
  <w:style w:type="character" w:customStyle="1" w:styleId="CommentSubjectChar">
    <w:name w:val="Comment Subject Char"/>
    <w:basedOn w:val="CommentTextChar"/>
    <w:link w:val="CommentSubject"/>
    <w:uiPriority w:val="99"/>
    <w:semiHidden/>
    <w:rsid w:val="00E7138B"/>
    <w:rPr>
      <w:rFonts w:ascii="Arial Narrow" w:eastAsia="Times New Roman" w:hAnsi="Arial Narrow"/>
      <w:b/>
      <w:bCs/>
    </w:rPr>
  </w:style>
  <w:style w:type="paragraph" w:styleId="HTMLPreformatted">
    <w:name w:val="HTML Preformatted"/>
    <w:basedOn w:val="Normal"/>
    <w:link w:val="HTMLPreformattedChar"/>
    <w:uiPriority w:val="99"/>
    <w:unhideWhenUsed/>
    <w:rsid w:val="005F1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5F1DFC"/>
    <w:rPr>
      <w:rFonts w:ascii="Courier New" w:eastAsia="Times New Roman" w:hAnsi="Courier New" w:cs="Courier New"/>
    </w:rPr>
  </w:style>
  <w:style w:type="paragraph" w:styleId="FootnoteText">
    <w:name w:val="footnote text"/>
    <w:basedOn w:val="Normal"/>
    <w:link w:val="FootnoteTextChar"/>
    <w:unhideWhenUsed/>
    <w:rsid w:val="00F95BA3"/>
    <w:rPr>
      <w:rFonts w:ascii="Times New Roman" w:eastAsiaTheme="minorEastAsia" w:hAnsi="Times New Roman"/>
      <w:sz w:val="20"/>
    </w:rPr>
  </w:style>
  <w:style w:type="character" w:customStyle="1" w:styleId="FootnoteTextChar">
    <w:name w:val="Footnote Text Char"/>
    <w:basedOn w:val="DefaultParagraphFont"/>
    <w:link w:val="FootnoteText"/>
    <w:rsid w:val="00F95BA3"/>
    <w:rPr>
      <w:rFonts w:eastAsiaTheme="minorEastAsia"/>
    </w:rPr>
  </w:style>
  <w:style w:type="character" w:styleId="FootnoteReference">
    <w:name w:val="footnote reference"/>
    <w:basedOn w:val="DefaultParagraphFont"/>
    <w:uiPriority w:val="99"/>
    <w:unhideWhenUsed/>
    <w:rsid w:val="00F95BA3"/>
    <w:rPr>
      <w:vertAlign w:val="superscript"/>
    </w:rPr>
  </w:style>
  <w:style w:type="character" w:styleId="FollowedHyperlink">
    <w:name w:val="FollowedHyperlink"/>
    <w:basedOn w:val="DefaultParagraphFont"/>
    <w:uiPriority w:val="99"/>
    <w:semiHidden/>
    <w:unhideWhenUsed/>
    <w:rsid w:val="00951A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1356926">
      <w:bodyDiv w:val="1"/>
      <w:marLeft w:val="0"/>
      <w:marRight w:val="0"/>
      <w:marTop w:val="0"/>
      <w:marBottom w:val="0"/>
      <w:divBdr>
        <w:top w:val="none" w:sz="0" w:space="0" w:color="auto"/>
        <w:left w:val="none" w:sz="0" w:space="0" w:color="auto"/>
        <w:bottom w:val="none" w:sz="0" w:space="0" w:color="auto"/>
        <w:right w:val="none" w:sz="0" w:space="0" w:color="auto"/>
      </w:divBdr>
    </w:div>
    <w:div w:id="1080561176">
      <w:bodyDiv w:val="1"/>
      <w:marLeft w:val="0"/>
      <w:marRight w:val="0"/>
      <w:marTop w:val="0"/>
      <w:marBottom w:val="0"/>
      <w:divBdr>
        <w:top w:val="none" w:sz="0" w:space="0" w:color="auto"/>
        <w:left w:val="none" w:sz="0" w:space="0" w:color="auto"/>
        <w:bottom w:val="none" w:sz="0" w:space="0" w:color="auto"/>
        <w:right w:val="none" w:sz="0" w:space="0" w:color="auto"/>
      </w:divBdr>
    </w:div>
    <w:div w:id="130831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meron.demetre@sen.ca.gov"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666E5-561B-46CD-A83E-92A5560DC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394</Words>
  <Characters>2251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Legislative Data Center</Company>
  <LinksUpToDate>false</LinksUpToDate>
  <CharactersWithSpaces>2640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Legislative Counsel</dc:creator>
  <cp:lastModifiedBy>Demetre, Cameron</cp:lastModifiedBy>
  <cp:revision>5</cp:revision>
  <cp:lastPrinted>2015-03-12T00:01:00Z</cp:lastPrinted>
  <dcterms:created xsi:type="dcterms:W3CDTF">2016-03-23T21:12:00Z</dcterms:created>
  <dcterms:modified xsi:type="dcterms:W3CDTF">2016-04-05T16:17:00Z</dcterms:modified>
</cp:coreProperties>
</file>