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1564A8" w:rsidTr="001564A8">
        <w:trPr>
          <w:tblCellSpacing w:w="0" w:type="dxa"/>
          <w:jc w:val="center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564A8" w:rsidRDefault="001564A8">
            <w:pPr>
              <w:rPr>
                <w:rFonts w:ascii="Arial" w:eastAsia="Times New Roman" w:hAnsi="Arial" w:cs="Arial"/>
                <w:color w:val="262626"/>
              </w:rPr>
            </w:pPr>
            <w:r>
              <w:rPr>
                <w:rFonts w:ascii="Arial" w:eastAsia="Times New Roman" w:hAnsi="Arial" w:cs="Arial"/>
                <w:color w:val="262626"/>
              </w:rPr>
              <w:t>This abstract supports the use of d-limonene, the primary constituent of the citrus essential oils (i</w:t>
            </w:r>
            <w:r>
              <w:rPr>
                <w:rFonts w:ascii="Arial" w:eastAsia="Times New Roman" w:hAnsi="Arial" w:cs="Arial"/>
                <w:color w:val="262626"/>
              </w:rPr>
              <w:t>.</w:t>
            </w:r>
            <w:r>
              <w:rPr>
                <w:rFonts w:ascii="Arial" w:eastAsia="Times New Roman" w:hAnsi="Arial" w:cs="Arial"/>
                <w:color w:val="262626"/>
              </w:rPr>
              <w:t>e</w:t>
            </w:r>
            <w:r>
              <w:rPr>
                <w:rFonts w:ascii="Arial" w:eastAsia="Times New Roman" w:hAnsi="Arial" w:cs="Arial"/>
                <w:color w:val="262626"/>
              </w:rPr>
              <w:t>.,</w:t>
            </w:r>
            <w:r>
              <w:rPr>
                <w:rFonts w:ascii="Arial" w:eastAsia="Times New Roman" w:hAnsi="Arial" w:cs="Arial"/>
                <w:color w:val="262626"/>
              </w:rPr>
              <w:t xml:space="preserve"> lemon, orange, grapefruit, lime), for heartburn and gastric reflux, to help naturally breakdown gallstones, and prevent cancer, including breast cancer and </w:t>
            </w:r>
            <w:proofErr w:type="spellStart"/>
            <w:r>
              <w:rPr>
                <w:rFonts w:ascii="Arial" w:eastAsia="Times New Roman" w:hAnsi="Arial" w:cs="Arial"/>
                <w:color w:val="262626"/>
              </w:rPr>
              <w:t>colo</w:t>
            </w:r>
            <w:proofErr w:type="spellEnd"/>
            <w:r>
              <w:rPr>
                <w:rFonts w:ascii="Arial" w:eastAsia="Times New Roman" w:hAnsi="Arial" w:cs="Arial"/>
                <w:color w:val="262626"/>
              </w:rPr>
              <w:t>-rectal cancer.</w:t>
            </w:r>
          </w:p>
          <w:p w:rsidR="001564A8" w:rsidRDefault="001564A8">
            <w:pPr>
              <w:rPr>
                <w:rFonts w:ascii="Arial" w:eastAsia="Times New Roman" w:hAnsi="Arial" w:cs="Arial"/>
                <w:color w:val="262626"/>
              </w:rPr>
            </w:pPr>
          </w:p>
          <w:p w:rsidR="001564A8" w:rsidRPr="001564A8" w:rsidRDefault="001564A8">
            <w:pPr>
              <w:rPr>
                <w:rFonts w:ascii="Arial" w:eastAsia="Times New Roman" w:hAnsi="Arial" w:cs="Arial"/>
                <w:b/>
                <w:color w:val="262626"/>
              </w:rPr>
            </w:pPr>
            <w:r w:rsidRPr="001564A8">
              <w:rPr>
                <w:rFonts w:ascii="Arial" w:eastAsia="Times New Roman" w:hAnsi="Arial" w:cs="Arial"/>
                <w:b/>
                <w:color w:val="262626"/>
                <w:sz w:val="30"/>
                <w:szCs w:val="30"/>
              </w:rPr>
              <w:t>D-Limonene: safety and clinical applications.</w:t>
            </w:r>
          </w:p>
          <w:p w:rsidR="001564A8" w:rsidRPr="001564A8" w:rsidRDefault="001564A8">
            <w:pPr>
              <w:rPr>
                <w:rFonts w:ascii="Arial" w:eastAsia="Times New Roman" w:hAnsi="Arial" w:cs="Arial"/>
                <w:b/>
                <w:color w:val="262626"/>
              </w:rPr>
            </w:pPr>
          </w:p>
          <w:p w:rsidR="001564A8" w:rsidRDefault="001564A8">
            <w:pPr>
              <w:rPr>
                <w:rFonts w:ascii="Arial" w:eastAsia="Times New Roman" w:hAnsi="Arial" w:cs="Arial"/>
                <w:color w:val="262626"/>
              </w:rPr>
            </w:pPr>
            <w:r>
              <w:rPr>
                <w:rFonts w:ascii="Arial" w:eastAsia="Times New Roman" w:hAnsi="Arial" w:cs="Arial"/>
                <w:color w:val="262626"/>
              </w:rPr>
              <w:t xml:space="preserve">Source: </w:t>
            </w:r>
            <w:proofErr w:type="spellStart"/>
            <w:r w:rsidRPr="001564A8">
              <w:rPr>
                <w:rFonts w:ascii="Arial" w:eastAsia="Times New Roman" w:hAnsi="Arial" w:cs="Arial"/>
                <w:color w:val="262626"/>
                <w:u w:val="single"/>
              </w:rPr>
              <w:t>Altern</w:t>
            </w:r>
            <w:proofErr w:type="spellEnd"/>
            <w:r w:rsidRPr="001564A8">
              <w:rPr>
                <w:rFonts w:ascii="Arial" w:eastAsia="Times New Roman" w:hAnsi="Arial" w:cs="Arial"/>
                <w:color w:val="262626"/>
                <w:u w:val="single"/>
              </w:rPr>
              <w:t xml:space="preserve"> Med Rev. 2007 Sep</w:t>
            </w:r>
            <w:proofErr w:type="gramStart"/>
            <w:r w:rsidRPr="001564A8">
              <w:rPr>
                <w:rFonts w:ascii="Arial" w:eastAsia="Times New Roman" w:hAnsi="Arial" w:cs="Arial"/>
                <w:color w:val="262626"/>
                <w:u w:val="single"/>
              </w:rPr>
              <w:t>;12</w:t>
            </w:r>
            <w:proofErr w:type="gramEnd"/>
            <w:r w:rsidRPr="001564A8">
              <w:rPr>
                <w:rFonts w:ascii="Arial" w:eastAsia="Times New Roman" w:hAnsi="Arial" w:cs="Arial"/>
                <w:color w:val="262626"/>
                <w:u w:val="single"/>
              </w:rPr>
              <w:t>(3):259-64.</w:t>
            </w:r>
            <w:r w:rsidRPr="001564A8">
              <w:rPr>
                <w:rFonts w:ascii="Arial" w:eastAsia="Times New Roman" w:hAnsi="Arial" w:cs="Arial"/>
                <w:color w:val="262626"/>
                <w:u w:val="single"/>
              </w:rPr>
              <w:br/>
            </w:r>
            <w:r w:rsidRPr="001564A8">
              <w:rPr>
                <w:rFonts w:ascii="Arial" w:eastAsia="Times New Roman" w:hAnsi="Arial" w:cs="Arial"/>
                <w:color w:val="262626"/>
                <w:u w:val="single"/>
              </w:rPr>
              <w:br/>
            </w:r>
            <w:r>
              <w:rPr>
                <w:rFonts w:ascii="Arial" w:eastAsia="Times New Roman" w:hAnsi="Arial" w:cs="Arial"/>
                <w:color w:val="262626"/>
              </w:rPr>
              <w:t>D-limonene is one of the most common terpenes in nature. It is a major constituent in several citrus oils (orange, lemon, mandarin, lime, and grapefruit). D-limonene is listed in the Code of Federal Regulations as generally recognized as safe (GRAS)</w:t>
            </w:r>
            <w:r>
              <w:rPr>
                <w:rFonts w:ascii="Arial" w:eastAsia="Times New Roman" w:hAnsi="Arial" w:cs="Arial"/>
                <w:color w:val="262626"/>
              </w:rPr>
              <w:br/>
            </w:r>
            <w:r>
              <w:rPr>
                <w:rFonts w:ascii="Arial" w:eastAsia="Times New Roman" w:hAnsi="Arial" w:cs="Arial"/>
                <w:color w:val="262626"/>
              </w:rPr>
              <w:br/>
            </w:r>
            <w:bookmarkStart w:id="0" w:name="_GoBack"/>
            <w:bookmarkEnd w:id="0"/>
            <w:r>
              <w:rPr>
                <w:rFonts w:ascii="Arial" w:eastAsia="Times New Roman" w:hAnsi="Arial" w:cs="Arial"/>
                <w:color w:val="262626"/>
              </w:rPr>
              <w:t xml:space="preserve">Being a solvent of cholesterol, d-limonene has been used clinically to dissolve cholesterol-containing gallstones. Because of its gastric acid neutralizing effect and its support of normal peristalsis, it has also been used for relief of heartburn and gastroesophageal reflux (GERD). D-limonene has well-established </w:t>
            </w:r>
            <w:proofErr w:type="spellStart"/>
            <w:r>
              <w:rPr>
                <w:rFonts w:ascii="Arial" w:eastAsia="Times New Roman" w:hAnsi="Arial" w:cs="Arial"/>
                <w:color w:val="262626"/>
              </w:rPr>
              <w:t>chemopreventive</w:t>
            </w:r>
            <w:proofErr w:type="spellEnd"/>
            <w:r>
              <w:rPr>
                <w:rFonts w:ascii="Arial" w:eastAsia="Times New Roman" w:hAnsi="Arial" w:cs="Arial"/>
                <w:color w:val="262626"/>
              </w:rPr>
              <w:t xml:space="preserve"> activity against many types of cancer. Evidence from a phase I clinical trial demonstrated a partial response in a patient with breast cancer and stable disease for more than six months in three patients with colorectal cancer.</w:t>
            </w:r>
          </w:p>
          <w:p w:rsidR="001564A8" w:rsidRDefault="001564A8">
            <w:pPr>
              <w:rPr>
                <w:rFonts w:ascii="Arial" w:eastAsia="Times New Roman" w:hAnsi="Arial" w:cs="Arial"/>
                <w:color w:val="262626"/>
              </w:rPr>
            </w:pPr>
            <w:r>
              <w:rPr>
                <w:rFonts w:ascii="Arial" w:eastAsia="Times New Roman" w:hAnsi="Arial" w:cs="Arial"/>
                <w:color w:val="262626"/>
              </w:rPr>
              <w:t> </w:t>
            </w:r>
          </w:p>
          <w:p w:rsidR="001564A8" w:rsidRDefault="001564A8">
            <w:pPr>
              <w:rPr>
                <w:rFonts w:ascii="Arial" w:eastAsia="Times New Roman" w:hAnsi="Arial" w:cs="Arial"/>
                <w:color w:val="262626"/>
              </w:rPr>
            </w:pPr>
            <w:r>
              <w:rPr>
                <w:rFonts w:ascii="Arial" w:eastAsia="Times New Roman" w:hAnsi="Arial" w:cs="Arial"/>
                <w:color w:val="262626"/>
              </w:rPr>
              <w:t>--------------------------------------------------------------------------------------------------</w:t>
            </w:r>
          </w:p>
          <w:p w:rsidR="001564A8" w:rsidRDefault="001564A8">
            <w:pPr>
              <w:rPr>
                <w:rFonts w:ascii="Arial" w:eastAsia="Times New Roman" w:hAnsi="Arial" w:cs="Arial"/>
                <w:color w:val="262626"/>
              </w:rPr>
            </w:pPr>
          </w:p>
          <w:p w:rsidR="001564A8" w:rsidRDefault="001564A8">
            <w:pPr>
              <w:rPr>
                <w:rFonts w:ascii="Arial" w:eastAsia="Times New Roman" w:hAnsi="Arial" w:cs="Arial"/>
                <w:color w:val="262626"/>
              </w:rPr>
            </w:pPr>
            <w:r>
              <w:rPr>
                <w:rFonts w:ascii="Arial" w:eastAsia="Times New Roman" w:hAnsi="Arial" w:cs="Arial"/>
                <w:color w:val="262626"/>
              </w:rPr>
              <w:t>A large survey performed by the National Heartburn Alliance in</w:t>
            </w:r>
            <w:r>
              <w:rPr>
                <w:rFonts w:ascii="Arial" w:eastAsia="Times New Roman" w:hAnsi="Arial" w:cs="Arial"/>
                <w:color w:val="262626"/>
              </w:rPr>
              <w:t xml:space="preserve"> </w:t>
            </w:r>
            <w:r>
              <w:rPr>
                <w:rFonts w:ascii="Arial" w:eastAsia="Times New Roman" w:hAnsi="Arial" w:cs="Arial"/>
                <w:color w:val="262626"/>
              </w:rPr>
              <w:t>2000 estimated that 60 million Americans have GERD symptoms at least once per month, and 25 million adults have daily symptoms. </w:t>
            </w:r>
          </w:p>
          <w:p w:rsidR="001564A8" w:rsidRDefault="001564A8">
            <w:pPr>
              <w:rPr>
                <w:rFonts w:ascii="Arial" w:eastAsia="Times New Roman" w:hAnsi="Arial" w:cs="Arial"/>
                <w:color w:val="262626"/>
              </w:rPr>
            </w:pPr>
          </w:p>
          <w:p w:rsidR="001564A8" w:rsidRDefault="001564A8">
            <w:pPr>
              <w:rPr>
                <w:rFonts w:ascii="Arial" w:eastAsia="Times New Roman" w:hAnsi="Arial" w:cs="Arial"/>
                <w:color w:val="262626"/>
              </w:rPr>
            </w:pPr>
            <w:r>
              <w:rPr>
                <w:rFonts w:ascii="Arial" w:eastAsia="Times New Roman" w:hAnsi="Arial" w:cs="Arial"/>
                <w:color w:val="262626"/>
              </w:rPr>
              <w:t>This survey revealed that 95% of these individuals have had symptoms for more than one year, and 54% have had symptoms for more than five</w:t>
            </w:r>
            <w:r>
              <w:rPr>
                <w:rFonts w:ascii="Arial" w:eastAsia="Times New Roman" w:hAnsi="Arial" w:cs="Arial"/>
                <w:color w:val="262626"/>
              </w:rPr>
              <w:t xml:space="preserve"> </w:t>
            </w:r>
            <w:r>
              <w:rPr>
                <w:rFonts w:ascii="Arial" w:eastAsia="Times New Roman" w:hAnsi="Arial" w:cs="Arial"/>
                <w:color w:val="262626"/>
              </w:rPr>
              <w:t>years. Forty percent of these individuals reported symptoms two to four times per week, and 33% reported symptoms five times per week or more.</w:t>
            </w:r>
          </w:p>
          <w:p w:rsidR="001564A8" w:rsidRDefault="001564A8">
            <w:pPr>
              <w:rPr>
                <w:rFonts w:ascii="Arial" w:eastAsia="Times New Roman" w:hAnsi="Arial" w:cs="Arial"/>
                <w:color w:val="262626"/>
              </w:rPr>
            </w:pPr>
            <w:r>
              <w:rPr>
                <w:rFonts w:ascii="Arial" w:eastAsia="Times New Roman" w:hAnsi="Arial" w:cs="Arial"/>
                <w:color w:val="262626"/>
              </w:rPr>
              <w:br/>
              <w:t>Pharmaceutical acid blockers are usually the initial recommendation for both diagnosis and treatment.</w:t>
            </w:r>
            <w:r>
              <w:rPr>
                <w:rFonts w:ascii="Arial" w:eastAsia="Times New Roman" w:hAnsi="Arial" w:cs="Arial"/>
                <w:color w:val="262626"/>
              </w:rPr>
              <w:t xml:space="preserve"> </w:t>
            </w:r>
            <w:r>
              <w:rPr>
                <w:rFonts w:ascii="Arial" w:eastAsia="Times New Roman" w:hAnsi="Arial" w:cs="Arial"/>
                <w:color w:val="262626"/>
              </w:rPr>
              <w:t>Long-term therapy with acid blockers has not been well-studied. </w:t>
            </w:r>
          </w:p>
          <w:p w:rsidR="001564A8" w:rsidRDefault="001564A8">
            <w:pPr>
              <w:rPr>
                <w:rFonts w:ascii="Arial" w:eastAsia="Times New Roman" w:hAnsi="Arial" w:cs="Arial"/>
                <w:color w:val="262626"/>
              </w:rPr>
            </w:pPr>
          </w:p>
          <w:p w:rsidR="001564A8" w:rsidRDefault="001564A8">
            <w:pPr>
              <w:rPr>
                <w:rFonts w:ascii="Arial" w:eastAsia="Times New Roman" w:hAnsi="Arial" w:cs="Arial"/>
                <w:color w:val="262626"/>
              </w:rPr>
            </w:pPr>
            <w:r>
              <w:rPr>
                <w:rFonts w:ascii="Arial" w:eastAsia="Times New Roman" w:hAnsi="Arial" w:cs="Arial"/>
                <w:color w:val="262626"/>
              </w:rPr>
              <w:t>Some research has indicated that nutrient deficiencies may arise with these treatments. Research has also suggested that long-term therapy with both PPI and H2 blockers increases the risk of vitamin B12 deficiency significantly</w:t>
            </w:r>
            <w:r>
              <w:rPr>
                <w:rFonts w:ascii="Arial" w:eastAsia="Times New Roman" w:hAnsi="Arial" w:cs="Arial"/>
                <w:color w:val="262626"/>
              </w:rPr>
              <w:t>.</w:t>
            </w:r>
          </w:p>
          <w:p w:rsidR="001564A8" w:rsidRDefault="001564A8">
            <w:pPr>
              <w:rPr>
                <w:rFonts w:ascii="Arial" w:eastAsia="Times New Roman" w:hAnsi="Arial" w:cs="Arial"/>
                <w:color w:val="262626"/>
              </w:rPr>
            </w:pPr>
          </w:p>
          <w:p w:rsidR="001564A8" w:rsidRDefault="001564A8">
            <w:pPr>
              <w:rPr>
                <w:rFonts w:ascii="Arial" w:eastAsia="Times New Roman" w:hAnsi="Arial" w:cs="Arial"/>
                <w:color w:val="262626"/>
              </w:rPr>
            </w:pPr>
            <w:r>
              <w:rPr>
                <w:rFonts w:ascii="Arial" w:eastAsia="Times New Roman" w:hAnsi="Arial" w:cs="Arial"/>
                <w:color w:val="262626"/>
              </w:rPr>
              <w:t>There is also evidence that long-term use of PPIs increases the risk of hip fracture significantly.</w:t>
            </w:r>
          </w:p>
        </w:tc>
      </w:tr>
    </w:tbl>
    <w:p w:rsidR="001564A8" w:rsidRDefault="001564A8" w:rsidP="001564A8">
      <w:pPr>
        <w:shd w:val="clear" w:color="auto" w:fill="FFFFFF"/>
        <w:rPr>
          <w:rFonts w:ascii="Bookman Old Style" w:eastAsia="Times New Roman" w:hAnsi="Bookman Old Style"/>
          <w:color w:val="000000"/>
        </w:rPr>
      </w:pPr>
      <w:r>
        <w:rPr>
          <w:rFonts w:ascii="Bookman Old Style" w:eastAsia="Times New Roman" w:hAnsi="Bookman Old Style"/>
          <w:color w:val="000000"/>
        </w:rPr>
        <w:t> </w:t>
      </w:r>
    </w:p>
    <w:p w:rsidR="00135802" w:rsidRDefault="00135802"/>
    <w:sectPr w:rsidR="001358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4A8"/>
    <w:rsid w:val="00135802"/>
    <w:rsid w:val="0015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89905A-881C-4498-94A6-49F4B9C11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64A8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0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338</Words>
  <Characters>1930</Characters>
  <Application>Microsoft Office Word</Application>
  <DocSecurity>0</DocSecurity>
  <Lines>16</Lines>
  <Paragraphs>4</Paragraphs>
  <ScaleCrop>false</ScaleCrop>
  <Company/>
  <LinksUpToDate>false</LinksUpToDate>
  <CharactersWithSpaces>2264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Dodds</dc:creator>
  <cp:keywords/>
  <dc:description/>
  <cp:lastModifiedBy>Jean Dodds</cp:lastModifiedBy>
  <cp:revision>1</cp:revision>
  <dcterms:created xsi:type="dcterms:W3CDTF">2016-05-27T14:20:00Z</dcterms:created>
  <dcterms:modified xsi:type="dcterms:W3CDTF">2016-05-27T14:24:00Z</dcterms:modified>
</cp:coreProperties>
</file>