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C82" w:rsidRPr="005E2458" w:rsidRDefault="00805C82" w:rsidP="00805C82">
      <w:pPr>
        <w:ind w:left="-142"/>
        <w:rPr>
          <w:sz w:val="20"/>
          <w:szCs w:val="20"/>
          <w:lang w:val="de-DE"/>
        </w:rPr>
      </w:pPr>
      <w:r w:rsidRPr="005E2458">
        <w:rPr>
          <w:sz w:val="20"/>
          <w:szCs w:val="20"/>
          <w:lang w:val="de-DE"/>
        </w:rPr>
        <w:t>Fakultät für Europastudien, BBU, Cluj-Napoca</w:t>
      </w:r>
    </w:p>
    <w:p w:rsidR="005A55AA" w:rsidRPr="005E2458" w:rsidRDefault="005A55AA" w:rsidP="00805C82">
      <w:pPr>
        <w:ind w:left="-142"/>
        <w:rPr>
          <w:sz w:val="20"/>
          <w:szCs w:val="20"/>
          <w:lang w:val="de-DE"/>
        </w:rPr>
      </w:pPr>
      <w:r w:rsidRPr="005E2458">
        <w:rPr>
          <w:sz w:val="20"/>
          <w:szCs w:val="20"/>
          <w:lang w:val="de-DE"/>
        </w:rPr>
        <w:t>Master, 4. Semester</w:t>
      </w:r>
    </w:p>
    <w:p w:rsidR="005A55AA" w:rsidRPr="005E2458" w:rsidRDefault="00805C82" w:rsidP="00805C82">
      <w:pPr>
        <w:ind w:left="-142"/>
        <w:rPr>
          <w:sz w:val="20"/>
          <w:szCs w:val="20"/>
          <w:lang w:val="de-DE"/>
        </w:rPr>
      </w:pPr>
      <w:r w:rsidRPr="005E2458">
        <w:rPr>
          <w:sz w:val="20"/>
          <w:szCs w:val="20"/>
          <w:lang w:val="de-DE"/>
        </w:rPr>
        <w:t xml:space="preserve">Fach: </w:t>
      </w:r>
      <w:r w:rsidR="005A55AA" w:rsidRPr="005E2458">
        <w:rPr>
          <w:sz w:val="20"/>
          <w:szCs w:val="20"/>
          <w:lang w:val="de-DE"/>
        </w:rPr>
        <w:t xml:space="preserve">Nationale Minderheiten in Europa </w:t>
      </w:r>
    </w:p>
    <w:p w:rsidR="00805C82" w:rsidRPr="005E2458" w:rsidRDefault="00805C82" w:rsidP="00805C82">
      <w:pPr>
        <w:ind w:left="-142"/>
        <w:rPr>
          <w:sz w:val="20"/>
          <w:szCs w:val="20"/>
          <w:lang w:val="de-DE"/>
        </w:rPr>
      </w:pPr>
      <w:r w:rsidRPr="005E2458">
        <w:rPr>
          <w:sz w:val="20"/>
          <w:szCs w:val="20"/>
          <w:lang w:val="de-DE"/>
        </w:rPr>
        <w:t>Dozent: Christian Schuster</w:t>
      </w:r>
    </w:p>
    <w:p w:rsidR="00C14E8A" w:rsidRPr="005E2458" w:rsidRDefault="00D60E0D" w:rsidP="00805C82">
      <w:pPr>
        <w:ind w:left="-142"/>
        <w:rPr>
          <w:sz w:val="20"/>
          <w:szCs w:val="20"/>
          <w:lang w:val="de-DE"/>
        </w:rPr>
      </w:pPr>
      <w:r w:rsidRPr="005E2458">
        <w:rPr>
          <w:sz w:val="20"/>
          <w:szCs w:val="20"/>
          <w:lang w:val="de-DE"/>
        </w:rPr>
        <w:t xml:space="preserve">Referentin: </w:t>
      </w:r>
      <w:r w:rsidR="00805C82" w:rsidRPr="005E2458">
        <w:rPr>
          <w:sz w:val="20"/>
          <w:szCs w:val="20"/>
          <w:lang w:val="de-DE"/>
        </w:rPr>
        <w:t>Rusu Alexandra</w:t>
      </w:r>
    </w:p>
    <w:p w:rsidR="00805C82" w:rsidRPr="005E2458" w:rsidRDefault="00805C82" w:rsidP="00805C82">
      <w:pPr>
        <w:ind w:left="-142"/>
        <w:rPr>
          <w:sz w:val="20"/>
          <w:szCs w:val="20"/>
          <w:lang w:val="de-DE"/>
        </w:rPr>
      </w:pPr>
      <w:r w:rsidRPr="005E2458">
        <w:rPr>
          <w:sz w:val="20"/>
          <w:szCs w:val="20"/>
          <w:lang w:val="de-DE"/>
        </w:rPr>
        <w:t xml:space="preserve">Kontakt: </w:t>
      </w:r>
      <w:hyperlink r:id="rId5" w:history="1">
        <w:r w:rsidRPr="005E2458">
          <w:rPr>
            <w:rStyle w:val="Hyperlink"/>
            <w:color w:val="auto"/>
            <w:sz w:val="20"/>
            <w:szCs w:val="20"/>
            <w:u w:val="none"/>
            <w:lang w:val="de-DE"/>
          </w:rPr>
          <w:t>rusualexandrar@</w:t>
        </w:r>
        <w:r w:rsidRPr="005E2458">
          <w:rPr>
            <w:rStyle w:val="Hyperlink"/>
            <w:color w:val="auto"/>
            <w:sz w:val="20"/>
            <w:szCs w:val="20"/>
            <w:u w:val="none"/>
            <w:lang w:val="ro-RO"/>
          </w:rPr>
          <w:t>gmail.com</w:t>
        </w:r>
      </w:hyperlink>
    </w:p>
    <w:p w:rsidR="00805C82" w:rsidRPr="005E2458" w:rsidRDefault="00805C82" w:rsidP="00805C82">
      <w:pPr>
        <w:ind w:left="-142"/>
        <w:rPr>
          <w:lang w:val="ro-RO"/>
        </w:rPr>
      </w:pPr>
    </w:p>
    <w:p w:rsidR="00805C82" w:rsidRPr="005E2458" w:rsidRDefault="00805C82" w:rsidP="00805C82">
      <w:pPr>
        <w:ind w:left="-142"/>
        <w:rPr>
          <w:lang w:val="ro-RO"/>
        </w:rPr>
      </w:pPr>
    </w:p>
    <w:p w:rsidR="00805C82" w:rsidRPr="005E2458" w:rsidRDefault="00805C82" w:rsidP="00805C82">
      <w:pPr>
        <w:ind w:left="-142"/>
        <w:jc w:val="center"/>
        <w:rPr>
          <w:b/>
          <w:sz w:val="28"/>
          <w:szCs w:val="28"/>
          <w:lang w:val="ro-RO"/>
        </w:rPr>
      </w:pPr>
      <w:r w:rsidRPr="005E2458">
        <w:rPr>
          <w:b/>
          <w:sz w:val="28"/>
          <w:szCs w:val="28"/>
          <w:lang w:val="ro-RO"/>
        </w:rPr>
        <w:t>Minderheiten in Russland</w:t>
      </w:r>
    </w:p>
    <w:p w:rsidR="00805C82" w:rsidRPr="005E2458" w:rsidRDefault="00805C82" w:rsidP="00805C82">
      <w:pPr>
        <w:ind w:left="-142"/>
        <w:jc w:val="center"/>
        <w:rPr>
          <w:b/>
          <w:sz w:val="28"/>
          <w:szCs w:val="28"/>
          <w:lang w:val="ro-RO"/>
        </w:rPr>
      </w:pPr>
    </w:p>
    <w:p w:rsidR="00805C82" w:rsidRPr="005E2458" w:rsidRDefault="00595E87" w:rsidP="00CB608A">
      <w:pPr>
        <w:pStyle w:val="ListParagraph"/>
        <w:numPr>
          <w:ilvl w:val="0"/>
          <w:numId w:val="1"/>
        </w:numPr>
        <w:jc w:val="both"/>
        <w:rPr>
          <w:rFonts w:asciiTheme="majorHAnsi" w:hAnsiTheme="majorHAnsi" w:cs="Helvetica"/>
          <w:sz w:val="22"/>
          <w:szCs w:val="22"/>
          <w:lang w:val="de-DE"/>
        </w:rPr>
      </w:pPr>
      <w:hyperlink r:id="rId6" w:history="1">
        <w:r w:rsidR="00805C82" w:rsidRPr="005E2458">
          <w:rPr>
            <w:rFonts w:asciiTheme="majorHAnsi" w:hAnsiTheme="majorHAnsi" w:cs="Helvetica"/>
            <w:sz w:val="22"/>
            <w:szCs w:val="22"/>
            <w:lang w:val="de-DE"/>
          </w:rPr>
          <w:t>Russland</w:t>
        </w:r>
      </w:hyperlink>
      <w:r w:rsidR="00805C82" w:rsidRPr="005E2458">
        <w:rPr>
          <w:rFonts w:asciiTheme="majorHAnsi" w:hAnsiTheme="majorHAnsi" w:cs="Helvetica"/>
          <w:sz w:val="22"/>
          <w:szCs w:val="22"/>
          <w:lang w:val="de-DE"/>
        </w:rPr>
        <w:t xml:space="preserve"> ist ein multinationaler Staat mit mehr als 170 ethnischen Gruppen, die als Nationalitäten bezeichnet werden.</w:t>
      </w:r>
    </w:p>
    <w:p w:rsidR="005A55AA" w:rsidRPr="005E2458" w:rsidRDefault="005A55AA" w:rsidP="005A55AA">
      <w:pPr>
        <w:pStyle w:val="ListParagraph"/>
        <w:ind w:left="578"/>
        <w:jc w:val="both"/>
        <w:rPr>
          <w:rFonts w:asciiTheme="majorHAnsi" w:hAnsiTheme="majorHAnsi" w:cs="Helvetica"/>
          <w:sz w:val="22"/>
          <w:szCs w:val="22"/>
          <w:lang w:val="de-DE"/>
        </w:rPr>
      </w:pPr>
    </w:p>
    <w:p w:rsidR="005A55AA" w:rsidRPr="005E2458" w:rsidRDefault="00805C82" w:rsidP="005A55AA">
      <w:pPr>
        <w:pStyle w:val="ListParagraph"/>
        <w:numPr>
          <w:ilvl w:val="0"/>
          <w:numId w:val="1"/>
        </w:numPr>
        <w:jc w:val="both"/>
        <w:rPr>
          <w:rFonts w:asciiTheme="majorHAnsi" w:hAnsiTheme="majorHAnsi" w:cs="Helvetica"/>
          <w:sz w:val="22"/>
          <w:szCs w:val="22"/>
          <w:lang w:val="de-DE"/>
        </w:rPr>
      </w:pPr>
      <w:r w:rsidRPr="005E2458">
        <w:rPr>
          <w:rFonts w:asciiTheme="majorHAnsi" w:hAnsiTheme="majorHAnsi" w:cs="Helvetica"/>
          <w:sz w:val="22"/>
          <w:szCs w:val="22"/>
          <w:lang w:val="de-DE"/>
        </w:rPr>
        <w:t>Die Population dieser Gruppen reicht von weniger als zehntausend (bei den Nenets und Samis) bis zu mehrere</w:t>
      </w:r>
      <w:r w:rsidR="005A55AA" w:rsidRPr="005E2458">
        <w:rPr>
          <w:rFonts w:asciiTheme="majorHAnsi" w:hAnsiTheme="majorHAnsi" w:cs="Helvetica"/>
          <w:sz w:val="22"/>
          <w:szCs w:val="22"/>
          <w:lang w:val="de-DE"/>
        </w:rPr>
        <w:t>n Millionen Russen und Tartaren</w:t>
      </w:r>
    </w:p>
    <w:p w:rsidR="005A55AA" w:rsidRPr="005E2458" w:rsidRDefault="005A55AA" w:rsidP="005A55AA">
      <w:pPr>
        <w:jc w:val="both"/>
        <w:rPr>
          <w:rFonts w:asciiTheme="majorHAnsi" w:hAnsiTheme="majorHAnsi" w:cs="Helvetica"/>
          <w:sz w:val="22"/>
          <w:szCs w:val="22"/>
          <w:lang w:val="de-DE"/>
        </w:rPr>
      </w:pPr>
    </w:p>
    <w:p w:rsidR="005A55AA" w:rsidRPr="005E2458" w:rsidRDefault="00805C82" w:rsidP="005A55AA">
      <w:pPr>
        <w:pStyle w:val="ListParagraph"/>
        <w:numPr>
          <w:ilvl w:val="0"/>
          <w:numId w:val="1"/>
        </w:numPr>
        <w:jc w:val="both"/>
        <w:rPr>
          <w:rFonts w:asciiTheme="majorHAnsi" w:hAnsiTheme="majorHAnsi" w:cs="Helvetica"/>
          <w:sz w:val="22"/>
          <w:szCs w:val="22"/>
          <w:lang w:val="de-DE"/>
        </w:rPr>
      </w:pPr>
      <w:r w:rsidRPr="005E2458">
        <w:rPr>
          <w:rFonts w:asciiTheme="majorHAnsi" w:hAnsiTheme="majorHAnsi" w:cs="Helvetica"/>
          <w:sz w:val="22"/>
          <w:szCs w:val="22"/>
          <w:lang w:val="de-DE"/>
        </w:rPr>
        <w:t xml:space="preserve">83 </w:t>
      </w:r>
      <w:hyperlink r:id="rId7" w:history="1">
        <w:r w:rsidRPr="005E2458">
          <w:rPr>
            <w:rFonts w:asciiTheme="majorHAnsi" w:hAnsiTheme="majorHAnsi" w:cs="Helvetica"/>
            <w:sz w:val="22"/>
            <w:szCs w:val="22"/>
            <w:lang w:val="de-DE"/>
          </w:rPr>
          <w:t>Föderationssubjekten</w:t>
        </w:r>
      </w:hyperlink>
      <w:r w:rsidRPr="005E2458">
        <w:rPr>
          <w:rFonts w:asciiTheme="majorHAnsi" w:hAnsiTheme="majorHAnsi" w:cs="Helvetica"/>
          <w:sz w:val="22"/>
          <w:szCs w:val="22"/>
          <w:lang w:val="de-DE"/>
        </w:rPr>
        <w:t xml:space="preserve">, die </w:t>
      </w:r>
      <w:r w:rsidR="005A55AA" w:rsidRPr="005E2458">
        <w:rPr>
          <w:rFonts w:asciiTheme="majorHAnsi" w:hAnsiTheme="majorHAnsi" w:cs="Helvetica"/>
          <w:sz w:val="22"/>
          <w:szCs w:val="22"/>
          <w:lang w:val="de-DE"/>
        </w:rPr>
        <w:t xml:space="preserve">die russische Föderation bilden; Darunte: </w:t>
      </w:r>
    </w:p>
    <w:p w:rsidR="005A55AA" w:rsidRPr="005E2458" w:rsidRDefault="00805C82" w:rsidP="005A55AA">
      <w:pPr>
        <w:pStyle w:val="ListParagraph"/>
        <w:numPr>
          <w:ilvl w:val="0"/>
          <w:numId w:val="3"/>
        </w:numPr>
        <w:ind w:left="1134" w:hanging="141"/>
        <w:jc w:val="both"/>
        <w:rPr>
          <w:rFonts w:asciiTheme="majorHAnsi" w:hAnsiTheme="majorHAnsi" w:cs="Helvetica"/>
          <w:sz w:val="22"/>
          <w:szCs w:val="22"/>
          <w:lang w:val="de-DE"/>
        </w:rPr>
      </w:pPr>
      <w:r w:rsidRPr="005E2458">
        <w:rPr>
          <w:rFonts w:asciiTheme="majorHAnsi" w:hAnsiTheme="majorHAnsi" w:cs="Helvetica"/>
          <w:sz w:val="22"/>
          <w:szCs w:val="22"/>
          <w:lang w:val="de-DE"/>
        </w:rPr>
        <w:t xml:space="preserve">21 nationale Republiken (für spezielle ethnische Minderheiten), </w:t>
      </w:r>
    </w:p>
    <w:p w:rsidR="005A55AA" w:rsidRPr="005E2458" w:rsidRDefault="00F90361" w:rsidP="005A55AA">
      <w:pPr>
        <w:pStyle w:val="ListParagraph"/>
        <w:numPr>
          <w:ilvl w:val="0"/>
          <w:numId w:val="2"/>
        </w:numPr>
        <w:ind w:left="1134" w:hanging="141"/>
        <w:jc w:val="both"/>
        <w:rPr>
          <w:rFonts w:asciiTheme="majorHAnsi" w:hAnsiTheme="majorHAnsi" w:cs="Helvetica"/>
          <w:sz w:val="22"/>
          <w:szCs w:val="22"/>
          <w:lang w:val="de-DE"/>
        </w:rPr>
      </w:pPr>
      <w:r w:rsidRPr="005E2458">
        <w:rPr>
          <w:rFonts w:asciiTheme="majorHAnsi" w:hAnsiTheme="majorHAnsi" w:cs="Helvetica"/>
          <w:sz w:val="22"/>
          <w:szCs w:val="22"/>
          <w:lang w:val="de-DE"/>
        </w:rPr>
        <w:t>1 a</w:t>
      </w:r>
      <w:r w:rsidR="005A55AA" w:rsidRPr="005E2458">
        <w:rPr>
          <w:rFonts w:asciiTheme="majorHAnsi" w:hAnsiTheme="majorHAnsi" w:cs="Helvetica"/>
          <w:sz w:val="22"/>
          <w:szCs w:val="22"/>
          <w:lang w:val="de-DE"/>
        </w:rPr>
        <w:t xml:space="preserve">utonomes jüdisches Gebiet </w:t>
      </w:r>
    </w:p>
    <w:p w:rsidR="00805C82" w:rsidRPr="005E2458" w:rsidRDefault="00F90361" w:rsidP="005A55AA">
      <w:pPr>
        <w:pStyle w:val="ListParagraph"/>
        <w:numPr>
          <w:ilvl w:val="0"/>
          <w:numId w:val="2"/>
        </w:numPr>
        <w:ind w:left="1134" w:hanging="141"/>
        <w:jc w:val="both"/>
        <w:rPr>
          <w:rFonts w:asciiTheme="majorHAnsi" w:hAnsiTheme="majorHAnsi" w:cs="Helvetica"/>
          <w:sz w:val="22"/>
          <w:szCs w:val="22"/>
          <w:lang w:val="de-DE"/>
        </w:rPr>
      </w:pPr>
      <w:r w:rsidRPr="005E2458">
        <w:rPr>
          <w:rFonts w:asciiTheme="majorHAnsi" w:hAnsiTheme="majorHAnsi" w:cs="Helvetica"/>
          <w:sz w:val="22"/>
          <w:szCs w:val="22"/>
          <w:lang w:val="de-DE"/>
        </w:rPr>
        <w:t>10 autonome Bezirke</w:t>
      </w:r>
    </w:p>
    <w:p w:rsidR="005A55AA" w:rsidRPr="005E2458" w:rsidRDefault="00CB608A"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Obwohl die russische Verfassung russisch als die offizielle Sprache erwähnt, können die einzelnen Republiken mehr als ein</w:t>
      </w:r>
      <w:r w:rsidR="005A55AA" w:rsidRPr="005E2458">
        <w:rPr>
          <w:rFonts w:asciiTheme="majorHAnsi" w:hAnsiTheme="majorHAnsi" w:cs="Helvetica"/>
          <w:sz w:val="22"/>
          <w:szCs w:val="22"/>
          <w:lang w:val="de-DE"/>
        </w:rPr>
        <w:t>e offizielle Sprache festlegen</w:t>
      </w:r>
    </w:p>
    <w:p w:rsidR="005A55AA" w:rsidRPr="005E2458" w:rsidRDefault="005A55AA" w:rsidP="005A55AA">
      <w:pPr>
        <w:pStyle w:val="ListParagraph"/>
        <w:ind w:left="578"/>
        <w:jc w:val="both"/>
        <w:rPr>
          <w:rFonts w:asciiTheme="majorHAnsi" w:hAnsiTheme="majorHAnsi"/>
          <w:sz w:val="22"/>
          <w:szCs w:val="22"/>
          <w:lang w:val="ro-RO"/>
        </w:rPr>
      </w:pPr>
    </w:p>
    <w:p w:rsidR="00805C82" w:rsidRPr="005E2458" w:rsidRDefault="00CB608A"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In den meisten Föderationsgebieten gibt es wenigstens zwei offizielle Sprachen: Russisch und die Sprache der namensgebenden Nationalität</w:t>
      </w:r>
    </w:p>
    <w:p w:rsidR="00D476F7" w:rsidRPr="005E2458" w:rsidRDefault="00D476F7" w:rsidP="00D476F7">
      <w:pPr>
        <w:pStyle w:val="ListParagraph"/>
        <w:rPr>
          <w:rFonts w:asciiTheme="majorHAnsi" w:hAnsiTheme="majorHAnsi"/>
          <w:sz w:val="22"/>
          <w:szCs w:val="22"/>
          <w:lang w:val="ro-RO"/>
        </w:rPr>
      </w:pPr>
    </w:p>
    <w:p w:rsidR="00D476F7" w:rsidRPr="005E2458" w:rsidRDefault="00595E87" w:rsidP="00CB608A">
      <w:pPr>
        <w:pStyle w:val="ListParagraph"/>
        <w:numPr>
          <w:ilvl w:val="0"/>
          <w:numId w:val="1"/>
        </w:numPr>
        <w:jc w:val="both"/>
        <w:rPr>
          <w:rFonts w:asciiTheme="majorHAnsi" w:hAnsiTheme="majorHAnsi"/>
          <w:sz w:val="22"/>
          <w:szCs w:val="22"/>
          <w:lang w:val="ro-RO"/>
        </w:rPr>
      </w:pPr>
      <w:hyperlink r:id="rId8" w:history="1">
        <w:r w:rsidR="00D476F7" w:rsidRPr="005E2458">
          <w:rPr>
            <w:rFonts w:asciiTheme="majorHAnsi" w:hAnsiTheme="majorHAnsi" w:cs="Helvetica"/>
            <w:sz w:val="22"/>
            <w:szCs w:val="22"/>
            <w:lang w:val="de-DE"/>
          </w:rPr>
          <w:t>Russisch</w:t>
        </w:r>
      </w:hyperlink>
      <w:r w:rsidR="00D476F7" w:rsidRPr="005E2458">
        <w:rPr>
          <w:rFonts w:asciiTheme="majorHAnsi" w:hAnsiTheme="majorHAnsi" w:cs="Helvetica"/>
          <w:sz w:val="22"/>
          <w:szCs w:val="22"/>
          <w:lang w:val="de-DE"/>
        </w:rPr>
        <w:t xml:space="preserve"> ist die einzige überall geltende </w:t>
      </w:r>
      <w:hyperlink r:id="rId9" w:history="1">
        <w:r w:rsidR="00D476F7" w:rsidRPr="005E2458">
          <w:rPr>
            <w:rFonts w:asciiTheme="majorHAnsi" w:hAnsiTheme="majorHAnsi" w:cs="Helvetica"/>
            <w:sz w:val="22"/>
            <w:szCs w:val="22"/>
            <w:lang w:val="de-DE"/>
          </w:rPr>
          <w:t>Amtssprache</w:t>
        </w:r>
      </w:hyperlink>
      <w:r w:rsidR="00D476F7" w:rsidRPr="005E2458">
        <w:rPr>
          <w:rFonts w:asciiTheme="majorHAnsi" w:hAnsiTheme="majorHAnsi" w:cs="Helvetica"/>
          <w:sz w:val="22"/>
          <w:szCs w:val="22"/>
          <w:lang w:val="de-DE"/>
        </w:rPr>
        <w:t>, parallel dazu wird in den einzelnen autonomen Republiken jedoch häufig die jeweilige Volkssprache als zweite Amtssprache verwendet (Unterricht, Massenmedien, Kulturpolitik)</w:t>
      </w:r>
    </w:p>
    <w:p w:rsidR="00D476F7" w:rsidRPr="005E2458" w:rsidRDefault="00D476F7" w:rsidP="00D476F7">
      <w:pPr>
        <w:pStyle w:val="ListParagraph"/>
        <w:rPr>
          <w:rFonts w:asciiTheme="majorHAnsi" w:hAnsiTheme="majorHAnsi"/>
          <w:sz w:val="22"/>
          <w:szCs w:val="22"/>
          <w:lang w:val="ro-RO"/>
        </w:rPr>
      </w:pPr>
    </w:p>
    <w:p w:rsidR="00D476F7" w:rsidRPr="005E2458" w:rsidRDefault="00D476F7"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lastRenderedPageBreak/>
        <w:t xml:space="preserve">Das </w:t>
      </w:r>
      <w:hyperlink r:id="rId10" w:history="1">
        <w:r w:rsidRPr="005E2458">
          <w:rPr>
            <w:rFonts w:asciiTheme="majorHAnsi" w:hAnsiTheme="majorHAnsi" w:cs="Helvetica"/>
            <w:sz w:val="22"/>
            <w:szCs w:val="22"/>
            <w:lang w:val="de-DE"/>
          </w:rPr>
          <w:t>kyrillische Alphabet</w:t>
        </w:r>
      </w:hyperlink>
      <w:r w:rsidRPr="005E2458">
        <w:rPr>
          <w:rFonts w:asciiTheme="majorHAnsi" w:hAnsiTheme="majorHAnsi" w:cs="Helvetica"/>
          <w:sz w:val="22"/>
          <w:szCs w:val="22"/>
          <w:lang w:val="de-DE"/>
        </w:rPr>
        <w:t xml:space="preserve"> ist die mit der Ausnahme </w:t>
      </w:r>
      <w:hyperlink r:id="rId11" w:history="1">
        <w:r w:rsidRPr="005E2458">
          <w:rPr>
            <w:rFonts w:asciiTheme="majorHAnsi" w:hAnsiTheme="majorHAnsi" w:cs="Helvetica"/>
            <w:sz w:val="22"/>
            <w:szCs w:val="22"/>
            <w:lang w:val="de-DE"/>
          </w:rPr>
          <w:t>Tatarstans</w:t>
        </w:r>
      </w:hyperlink>
      <w:r w:rsidRPr="005E2458">
        <w:rPr>
          <w:rFonts w:asciiTheme="majorHAnsi" w:hAnsiTheme="majorHAnsi" w:cs="Helvetica"/>
          <w:sz w:val="22"/>
          <w:szCs w:val="22"/>
          <w:lang w:val="de-DE"/>
        </w:rPr>
        <w:t xml:space="preserve"> einzige offizielle Schrift, und es besteht die Richtlinie, dass alle jeweiligen Sprachen kyrillisch zu schreiben sind</w:t>
      </w:r>
    </w:p>
    <w:p w:rsidR="005A55AA" w:rsidRPr="005E2458" w:rsidRDefault="005A55AA" w:rsidP="005A55AA">
      <w:pPr>
        <w:pStyle w:val="ListParagraph"/>
        <w:rPr>
          <w:rFonts w:asciiTheme="majorHAnsi" w:hAnsiTheme="majorHAnsi"/>
          <w:sz w:val="22"/>
          <w:szCs w:val="22"/>
          <w:lang w:val="ro-RO"/>
        </w:rPr>
      </w:pPr>
    </w:p>
    <w:p w:rsidR="005A55AA" w:rsidRPr="005E2458" w:rsidRDefault="005A55AA" w:rsidP="005A55AA">
      <w:pPr>
        <w:pStyle w:val="ListParagraph"/>
        <w:ind w:left="578"/>
        <w:jc w:val="both"/>
        <w:rPr>
          <w:rFonts w:asciiTheme="majorHAnsi" w:hAnsiTheme="majorHAnsi"/>
          <w:sz w:val="22"/>
          <w:szCs w:val="22"/>
          <w:lang w:val="ro-RO"/>
        </w:rPr>
      </w:pPr>
    </w:p>
    <w:p w:rsidR="00CB608A" w:rsidRPr="005E2458" w:rsidRDefault="00CB608A"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 xml:space="preserve">lebendige Minderheitensprachen in </w:t>
      </w:r>
      <w:r w:rsidR="005A55AA" w:rsidRPr="005E2458">
        <w:rPr>
          <w:rFonts w:asciiTheme="majorHAnsi" w:hAnsiTheme="majorHAnsi" w:cs="Helvetica"/>
          <w:sz w:val="22"/>
          <w:szCs w:val="22"/>
          <w:lang w:val="de-DE"/>
        </w:rPr>
        <w:t xml:space="preserve">den meisten Föderationsgebieten: </w:t>
      </w:r>
      <w:r w:rsidRPr="005E2458">
        <w:rPr>
          <w:rFonts w:asciiTheme="majorHAnsi" w:hAnsiTheme="majorHAnsi" w:cs="Helvetica"/>
          <w:sz w:val="22"/>
          <w:szCs w:val="22"/>
          <w:lang w:val="de-DE"/>
        </w:rPr>
        <w:t>1.350 Zeitungen und Magazinen, 300 TV-Kanälen und 250 Radiostationen in mehr als 50 Sprachen von Minderheiten</w:t>
      </w:r>
    </w:p>
    <w:p w:rsidR="005A55AA" w:rsidRPr="005E2458" w:rsidRDefault="005A55AA" w:rsidP="005A55AA">
      <w:pPr>
        <w:pStyle w:val="ListParagraph"/>
        <w:ind w:left="578"/>
        <w:jc w:val="both"/>
        <w:rPr>
          <w:rFonts w:asciiTheme="majorHAnsi" w:hAnsiTheme="majorHAnsi"/>
          <w:sz w:val="22"/>
          <w:szCs w:val="22"/>
          <w:lang w:val="ro-RO"/>
        </w:rPr>
      </w:pPr>
    </w:p>
    <w:p w:rsidR="00CB608A" w:rsidRPr="005E2458" w:rsidRDefault="00CB608A"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2007 gab es 6.260 Schulen, die in 38 Sprachen von Minderheiten unterrichteten. Mehr als 75 Sprachen von Minderheiten wurden als Fach in 10.404 Schulen unterrichtet</w:t>
      </w:r>
    </w:p>
    <w:p w:rsidR="005A55AA" w:rsidRPr="005E2458" w:rsidRDefault="005A55AA" w:rsidP="005A55AA">
      <w:pPr>
        <w:jc w:val="both"/>
        <w:rPr>
          <w:rFonts w:asciiTheme="majorHAnsi" w:hAnsiTheme="majorHAnsi"/>
          <w:sz w:val="22"/>
          <w:szCs w:val="22"/>
          <w:lang w:val="ro-RO"/>
        </w:rPr>
      </w:pPr>
    </w:p>
    <w:p w:rsidR="00CB608A" w:rsidRPr="005E2458" w:rsidRDefault="00CB608A"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Es gibt mehr als 2000 öffentliche Vereinigungen von nationalen Minderheiten und 560 nationale kulturelle Autonomien</w:t>
      </w:r>
    </w:p>
    <w:p w:rsidR="005A55AA" w:rsidRPr="005E2458" w:rsidRDefault="005A55AA" w:rsidP="005A55AA">
      <w:pPr>
        <w:jc w:val="both"/>
        <w:rPr>
          <w:rFonts w:asciiTheme="majorHAnsi" w:hAnsiTheme="majorHAnsi"/>
          <w:sz w:val="22"/>
          <w:szCs w:val="22"/>
          <w:lang w:val="ro-RO"/>
        </w:rPr>
      </w:pPr>
    </w:p>
    <w:p w:rsidR="00033075" w:rsidRPr="005E2458" w:rsidRDefault="00033075"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 xml:space="preserve">Russisich als Amtspsrache und die Möglichkeit einer zweiten Amtssprache  nur in den russischen Föderationen </w:t>
      </w:r>
    </w:p>
    <w:p w:rsidR="005A55AA" w:rsidRPr="005E2458" w:rsidRDefault="005A55AA" w:rsidP="005A55AA">
      <w:pPr>
        <w:jc w:val="both"/>
        <w:rPr>
          <w:rFonts w:asciiTheme="majorHAnsi" w:hAnsiTheme="majorHAnsi"/>
          <w:sz w:val="22"/>
          <w:szCs w:val="22"/>
          <w:lang w:val="ro-RO"/>
        </w:rPr>
      </w:pPr>
    </w:p>
    <w:p w:rsidR="00B97BEC" w:rsidRPr="005E2458" w:rsidRDefault="006970F7" w:rsidP="00CB608A">
      <w:pPr>
        <w:pStyle w:val="ListParagraph"/>
        <w:numPr>
          <w:ilvl w:val="0"/>
          <w:numId w:val="1"/>
        </w:numPr>
        <w:jc w:val="both"/>
        <w:rPr>
          <w:rFonts w:asciiTheme="majorHAnsi" w:hAnsiTheme="majorHAnsi"/>
          <w:sz w:val="22"/>
          <w:szCs w:val="22"/>
          <w:lang w:val="ro-RO"/>
        </w:rPr>
      </w:pPr>
      <w:r w:rsidRPr="005E2458">
        <w:rPr>
          <w:rFonts w:asciiTheme="majorHAnsi" w:hAnsiTheme="majorHAnsi"/>
          <w:sz w:val="22"/>
          <w:szCs w:val="22"/>
          <w:lang w:val="ro-RO"/>
        </w:rPr>
        <w:t xml:space="preserve">Kulturautonomiegesetz aus 1996 </w:t>
      </w:r>
    </w:p>
    <w:p w:rsidR="005A55AA" w:rsidRPr="005E2458" w:rsidRDefault="005A55AA" w:rsidP="005A55AA">
      <w:pPr>
        <w:jc w:val="both"/>
        <w:rPr>
          <w:rFonts w:asciiTheme="majorHAnsi" w:hAnsiTheme="majorHAnsi"/>
          <w:sz w:val="22"/>
          <w:szCs w:val="22"/>
          <w:lang w:val="ro-RO"/>
        </w:rPr>
      </w:pPr>
    </w:p>
    <w:p w:rsidR="00805C82" w:rsidRPr="005E2458" w:rsidRDefault="006970F7" w:rsidP="00E23BFD">
      <w:pPr>
        <w:pStyle w:val="ListParagraph"/>
        <w:numPr>
          <w:ilvl w:val="0"/>
          <w:numId w:val="1"/>
        </w:numPr>
        <w:jc w:val="both"/>
        <w:rPr>
          <w:rFonts w:asciiTheme="majorHAnsi" w:hAnsiTheme="majorHAnsi"/>
          <w:sz w:val="22"/>
          <w:szCs w:val="22"/>
          <w:lang w:val="ro-RO"/>
        </w:rPr>
      </w:pPr>
      <w:r w:rsidRPr="005E2458">
        <w:rPr>
          <w:rFonts w:asciiTheme="majorHAnsi" w:hAnsiTheme="majorHAnsi"/>
          <w:sz w:val="22"/>
          <w:szCs w:val="22"/>
          <w:lang w:val="ro-RO"/>
        </w:rPr>
        <w:t>Recht auf freihe Wahl der Unterrichtssprache</w:t>
      </w:r>
      <w:r w:rsidR="00033075" w:rsidRPr="005E2458">
        <w:rPr>
          <w:rFonts w:asciiTheme="majorHAnsi" w:hAnsiTheme="majorHAnsi"/>
          <w:sz w:val="22"/>
          <w:szCs w:val="22"/>
          <w:lang w:val="ro-RO"/>
        </w:rPr>
        <w:t xml:space="preserve"> </w:t>
      </w:r>
      <w:r w:rsidR="00033075" w:rsidRPr="005E2458">
        <w:rPr>
          <w:rFonts w:asciiTheme="majorHAnsi" w:hAnsiTheme="majorHAnsi"/>
          <w:sz w:val="22"/>
          <w:szCs w:val="22"/>
          <w:lang w:val="de-DE"/>
        </w:rPr>
        <w:t>-&gt; in der Praxis besucht die Mehrzahl nichtrussiscjer Kinder Schule</w:t>
      </w:r>
      <w:r w:rsidR="005A55AA" w:rsidRPr="005E2458">
        <w:rPr>
          <w:rFonts w:asciiTheme="majorHAnsi" w:hAnsiTheme="majorHAnsi"/>
          <w:sz w:val="22"/>
          <w:szCs w:val="22"/>
          <w:lang w:val="de-DE"/>
        </w:rPr>
        <w:t>n mit deutschem Unterricht mit A</w:t>
      </w:r>
      <w:r w:rsidR="00033075" w:rsidRPr="005E2458">
        <w:rPr>
          <w:rFonts w:asciiTheme="majorHAnsi" w:hAnsiTheme="majorHAnsi"/>
          <w:sz w:val="22"/>
          <w:szCs w:val="22"/>
          <w:lang w:val="de-DE"/>
        </w:rPr>
        <w:t>usnahme von Altajern, Tuvinern und Jakuten</w:t>
      </w:r>
    </w:p>
    <w:p w:rsidR="005A55AA" w:rsidRPr="005E2458" w:rsidRDefault="005A55AA" w:rsidP="005A55AA">
      <w:pPr>
        <w:jc w:val="both"/>
        <w:rPr>
          <w:rFonts w:asciiTheme="majorHAnsi" w:hAnsiTheme="majorHAnsi"/>
          <w:sz w:val="22"/>
          <w:szCs w:val="22"/>
          <w:lang w:val="ro-RO"/>
        </w:rPr>
      </w:pPr>
    </w:p>
    <w:p w:rsidR="00CC5298" w:rsidRPr="005E2458" w:rsidRDefault="00E23BFD" w:rsidP="00CC5298">
      <w:pPr>
        <w:pStyle w:val="ListParagraph"/>
        <w:numPr>
          <w:ilvl w:val="0"/>
          <w:numId w:val="1"/>
        </w:numPr>
        <w:jc w:val="both"/>
        <w:rPr>
          <w:rFonts w:asciiTheme="majorHAnsi" w:hAnsiTheme="majorHAnsi"/>
          <w:sz w:val="22"/>
          <w:szCs w:val="22"/>
          <w:lang w:val="ro-RO"/>
        </w:rPr>
      </w:pPr>
      <w:r w:rsidRPr="005E2458">
        <w:rPr>
          <w:rFonts w:asciiTheme="majorHAnsi" w:hAnsiTheme="majorHAnsi"/>
          <w:sz w:val="22"/>
          <w:szCs w:val="22"/>
          <w:lang w:val="de-DE"/>
        </w:rPr>
        <w:t>Religionsfreiheit</w:t>
      </w:r>
      <w:r w:rsidR="005A55AA" w:rsidRPr="005E2458">
        <w:rPr>
          <w:rFonts w:asciiTheme="majorHAnsi" w:hAnsiTheme="majorHAnsi"/>
          <w:sz w:val="22"/>
          <w:szCs w:val="22"/>
          <w:lang w:val="de-DE"/>
        </w:rPr>
        <w:t>: Mehrheit bekennt sich zur Russischen O</w:t>
      </w:r>
      <w:r w:rsidR="00526D14" w:rsidRPr="005E2458">
        <w:rPr>
          <w:rFonts w:asciiTheme="majorHAnsi" w:hAnsiTheme="majorHAnsi"/>
          <w:sz w:val="22"/>
          <w:szCs w:val="22"/>
          <w:lang w:val="de-DE"/>
        </w:rPr>
        <w:t xml:space="preserve">rthodoxen Kirche, die zweitgrößte Religionsgemeinschaft ist der Islam (mit etwa 3.200 Gemeinden ind Baskortostan, Tatarstan und in den nordkaukasischen Republiken), weitere zahlreiche protestantische Glaubensgemenischaften (Pfingstler, Baptisten, Evangeliumschristen etc.) und die lutherische </w:t>
      </w:r>
      <w:r w:rsidR="00806BC5" w:rsidRPr="005E2458">
        <w:rPr>
          <w:rFonts w:asciiTheme="majorHAnsi" w:hAnsiTheme="majorHAnsi"/>
          <w:sz w:val="22"/>
          <w:szCs w:val="22"/>
          <w:lang w:val="de-DE"/>
        </w:rPr>
        <w:t>und römisch-katholische Kirche</w:t>
      </w:r>
    </w:p>
    <w:p w:rsidR="00806BC5" w:rsidRPr="005E2458" w:rsidRDefault="00806BC5" w:rsidP="00806BC5">
      <w:pPr>
        <w:pStyle w:val="ListParagraph"/>
        <w:rPr>
          <w:rFonts w:asciiTheme="majorHAnsi" w:hAnsiTheme="majorHAnsi"/>
          <w:sz w:val="22"/>
          <w:szCs w:val="22"/>
          <w:lang w:val="ro-RO"/>
        </w:rPr>
      </w:pPr>
    </w:p>
    <w:p w:rsidR="00806BC5" w:rsidRPr="005E2458" w:rsidRDefault="00806BC5" w:rsidP="00CC5298">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 xml:space="preserve">Zahlreiche ethnische Minderheiten gehörem dem Islam an; die meisten von ihnen leben im Nordkaukasus sowie an </w:t>
      </w:r>
      <w:r w:rsidR="00784514" w:rsidRPr="005E2458">
        <w:rPr>
          <w:rFonts w:asciiTheme="majorHAnsi" w:hAnsiTheme="majorHAnsi" w:cs="Helvetica"/>
          <w:sz w:val="22"/>
          <w:szCs w:val="22"/>
          <w:lang w:val="de-DE"/>
        </w:rPr>
        <w:t xml:space="preserve">der mittleren </w:t>
      </w:r>
      <w:r w:rsidR="00784514" w:rsidRPr="005E2458">
        <w:rPr>
          <w:rFonts w:asciiTheme="majorHAnsi" w:hAnsiTheme="majorHAnsi" w:cs="Helvetica"/>
          <w:sz w:val="22"/>
          <w:szCs w:val="22"/>
          <w:lang w:val="de-DE"/>
        </w:rPr>
        <w:lastRenderedPageBreak/>
        <w:t>Wolga und im Ural (etwa 33-35% der Bevölkerung); Darunter ist das zahlreichste Volk die Tataren</w:t>
      </w:r>
    </w:p>
    <w:p w:rsidR="00CC5298" w:rsidRPr="005E2458" w:rsidRDefault="00CC5298" w:rsidP="00CC5298">
      <w:pPr>
        <w:pStyle w:val="ListParagraph"/>
        <w:rPr>
          <w:rFonts w:asciiTheme="majorHAnsi" w:hAnsiTheme="majorHAnsi" w:cs="Helvetica"/>
          <w:sz w:val="22"/>
          <w:szCs w:val="22"/>
          <w:lang w:val="de-DE"/>
        </w:rPr>
      </w:pPr>
    </w:p>
    <w:p w:rsidR="00CC5298" w:rsidRPr="005E2458" w:rsidRDefault="00CC5298" w:rsidP="00CC5298">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 xml:space="preserve">Trotz der Heterogenität ist die russische Bevölkerung in allen städtischen und industriell geprägten Räumen landesweit dominant und die </w:t>
      </w:r>
      <w:hyperlink r:id="rId12" w:history="1">
        <w:r w:rsidRPr="005E2458">
          <w:rPr>
            <w:rFonts w:asciiTheme="majorHAnsi" w:hAnsiTheme="majorHAnsi" w:cs="Helvetica"/>
            <w:sz w:val="22"/>
            <w:szCs w:val="22"/>
            <w:lang w:val="de-DE"/>
          </w:rPr>
          <w:t>Titularnationen</w:t>
        </w:r>
      </w:hyperlink>
      <w:r w:rsidRPr="005E2458">
        <w:rPr>
          <w:rFonts w:asciiTheme="majorHAnsi" w:hAnsiTheme="majorHAnsi" w:cs="Helvetica"/>
          <w:sz w:val="22"/>
          <w:szCs w:val="22"/>
          <w:lang w:val="de-DE"/>
        </w:rPr>
        <w:t xml:space="preserve"> bilden auch in ihren „eigenen“ Territorien häufig die Minderheit. Dabei variiert der Grad der </w:t>
      </w:r>
      <w:hyperlink r:id="rId13" w:history="1">
        <w:r w:rsidRPr="005E2458">
          <w:rPr>
            <w:rFonts w:asciiTheme="majorHAnsi" w:hAnsiTheme="majorHAnsi" w:cs="Helvetica"/>
            <w:sz w:val="22"/>
            <w:szCs w:val="22"/>
            <w:lang w:val="de-DE"/>
          </w:rPr>
          <w:t>ethnischen</w:t>
        </w:r>
      </w:hyperlink>
      <w:r w:rsidRPr="005E2458">
        <w:rPr>
          <w:rFonts w:asciiTheme="majorHAnsi" w:hAnsiTheme="majorHAnsi" w:cs="Helvetica"/>
          <w:sz w:val="22"/>
          <w:szCs w:val="22"/>
          <w:lang w:val="de-DE"/>
        </w:rPr>
        <w:t xml:space="preserve"> Identifikation.</w:t>
      </w:r>
    </w:p>
    <w:p w:rsidR="00CC5298" w:rsidRPr="005E2458" w:rsidRDefault="00CC5298" w:rsidP="00D476F7">
      <w:pPr>
        <w:jc w:val="both"/>
        <w:rPr>
          <w:rFonts w:asciiTheme="majorHAnsi" w:hAnsiTheme="majorHAnsi"/>
          <w:sz w:val="22"/>
          <w:szCs w:val="22"/>
          <w:lang w:val="ro-RO"/>
        </w:rPr>
      </w:pPr>
    </w:p>
    <w:p w:rsidR="00D476F7" w:rsidRPr="005E2458" w:rsidRDefault="00CC5298" w:rsidP="00D476F7">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 xml:space="preserve">Größere Minderheiten: die </w:t>
      </w:r>
      <w:hyperlink r:id="rId14" w:history="1">
        <w:r w:rsidRPr="005E2458">
          <w:rPr>
            <w:rFonts w:asciiTheme="majorHAnsi" w:hAnsiTheme="majorHAnsi" w:cs="Helvetica"/>
            <w:sz w:val="22"/>
            <w:szCs w:val="22"/>
            <w:lang w:val="de-DE"/>
          </w:rPr>
          <w:t>Tataren</w:t>
        </w:r>
      </w:hyperlink>
      <w:r w:rsidRPr="005E2458">
        <w:rPr>
          <w:rFonts w:asciiTheme="majorHAnsi" w:hAnsiTheme="majorHAnsi" w:cs="Helvetica"/>
          <w:sz w:val="22"/>
          <w:szCs w:val="22"/>
          <w:lang w:val="de-DE"/>
        </w:rPr>
        <w:t xml:space="preserve"> (4,0 Prozent), die </w:t>
      </w:r>
      <w:hyperlink r:id="rId15" w:history="1">
        <w:r w:rsidRPr="005E2458">
          <w:rPr>
            <w:rFonts w:asciiTheme="majorHAnsi" w:hAnsiTheme="majorHAnsi" w:cs="Helvetica"/>
            <w:sz w:val="22"/>
            <w:szCs w:val="22"/>
            <w:lang w:val="de-DE"/>
          </w:rPr>
          <w:t>Ukrainer</w:t>
        </w:r>
      </w:hyperlink>
      <w:r w:rsidRPr="005E2458">
        <w:rPr>
          <w:rFonts w:asciiTheme="majorHAnsi" w:hAnsiTheme="majorHAnsi" w:cs="Helvetica"/>
          <w:sz w:val="22"/>
          <w:szCs w:val="22"/>
          <w:lang w:val="de-DE"/>
        </w:rPr>
        <w:t xml:space="preserve"> (2,2 Prozent), die </w:t>
      </w:r>
      <w:hyperlink r:id="rId16" w:history="1">
        <w:r w:rsidRPr="005E2458">
          <w:rPr>
            <w:rFonts w:asciiTheme="majorHAnsi" w:hAnsiTheme="majorHAnsi" w:cs="Helvetica"/>
            <w:sz w:val="22"/>
            <w:szCs w:val="22"/>
            <w:lang w:val="de-DE"/>
          </w:rPr>
          <w:t>Armenier</w:t>
        </w:r>
      </w:hyperlink>
      <w:r w:rsidRPr="005E2458">
        <w:rPr>
          <w:rFonts w:asciiTheme="majorHAnsi" w:hAnsiTheme="majorHAnsi" w:cs="Helvetica"/>
          <w:sz w:val="22"/>
          <w:szCs w:val="22"/>
          <w:lang w:val="de-DE"/>
        </w:rPr>
        <w:t xml:space="preserve"> (1,9 Prozent), die </w:t>
      </w:r>
      <w:hyperlink r:id="rId17" w:history="1">
        <w:r w:rsidRPr="005E2458">
          <w:rPr>
            <w:rFonts w:asciiTheme="majorHAnsi" w:hAnsiTheme="majorHAnsi" w:cs="Helvetica"/>
            <w:sz w:val="22"/>
            <w:szCs w:val="22"/>
            <w:lang w:val="de-DE"/>
          </w:rPr>
          <w:t>Tschuwaschen</w:t>
        </w:r>
      </w:hyperlink>
      <w:r w:rsidRPr="005E2458">
        <w:rPr>
          <w:rFonts w:asciiTheme="majorHAnsi" w:hAnsiTheme="majorHAnsi" w:cs="Helvetica"/>
          <w:sz w:val="22"/>
          <w:szCs w:val="22"/>
          <w:lang w:val="de-DE"/>
        </w:rPr>
        <w:t xml:space="preserve"> (1,5 Prozent), die </w:t>
      </w:r>
      <w:hyperlink r:id="rId18" w:history="1">
        <w:r w:rsidRPr="005E2458">
          <w:rPr>
            <w:rFonts w:asciiTheme="majorHAnsi" w:hAnsiTheme="majorHAnsi" w:cs="Helvetica"/>
            <w:sz w:val="22"/>
            <w:szCs w:val="22"/>
            <w:lang w:val="de-DE"/>
          </w:rPr>
          <w:t>Baschkiren</w:t>
        </w:r>
      </w:hyperlink>
      <w:r w:rsidRPr="005E2458">
        <w:rPr>
          <w:rFonts w:asciiTheme="majorHAnsi" w:hAnsiTheme="majorHAnsi" w:cs="Helvetica"/>
          <w:sz w:val="22"/>
          <w:szCs w:val="22"/>
          <w:lang w:val="de-DE"/>
        </w:rPr>
        <w:t xml:space="preserve"> (1,4 Prozent), die </w:t>
      </w:r>
      <w:hyperlink r:id="rId19" w:history="1">
        <w:r w:rsidRPr="005E2458">
          <w:rPr>
            <w:rFonts w:asciiTheme="majorHAnsi" w:hAnsiTheme="majorHAnsi" w:cs="Helvetica"/>
            <w:sz w:val="22"/>
            <w:szCs w:val="22"/>
            <w:lang w:val="de-DE"/>
          </w:rPr>
          <w:t>Deutschen</w:t>
        </w:r>
      </w:hyperlink>
      <w:r w:rsidRPr="005E2458">
        <w:rPr>
          <w:rFonts w:asciiTheme="majorHAnsi" w:hAnsiTheme="majorHAnsi" w:cs="Helvetica"/>
          <w:sz w:val="22"/>
          <w:szCs w:val="22"/>
          <w:lang w:val="de-DE"/>
        </w:rPr>
        <w:t xml:space="preserve"> (0,8 Prozent) </w:t>
      </w:r>
    </w:p>
    <w:p w:rsidR="00D476F7" w:rsidRPr="005E2458" w:rsidRDefault="00D476F7" w:rsidP="00D476F7">
      <w:pPr>
        <w:pStyle w:val="ListParagraph"/>
        <w:ind w:left="578"/>
        <w:jc w:val="both"/>
        <w:rPr>
          <w:rFonts w:asciiTheme="majorHAnsi" w:hAnsiTheme="majorHAnsi"/>
          <w:sz w:val="22"/>
          <w:szCs w:val="22"/>
          <w:lang w:val="ro-RO"/>
        </w:rPr>
      </w:pPr>
    </w:p>
    <w:p w:rsidR="00D476F7" w:rsidRPr="005E2458" w:rsidRDefault="00D476F7" w:rsidP="00D476F7">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 xml:space="preserve">Kleinere Minderheiten: die </w:t>
      </w:r>
      <w:hyperlink r:id="rId20" w:history="1">
        <w:r w:rsidRPr="005E2458">
          <w:rPr>
            <w:rFonts w:asciiTheme="majorHAnsi" w:hAnsiTheme="majorHAnsi" w:cs="Helvetica"/>
            <w:sz w:val="22"/>
            <w:szCs w:val="22"/>
            <w:lang w:val="de-DE"/>
          </w:rPr>
          <w:t>Mescheten</w:t>
        </w:r>
      </w:hyperlink>
      <w:r w:rsidRPr="005E2458">
        <w:rPr>
          <w:rFonts w:asciiTheme="majorHAnsi" w:hAnsiTheme="majorHAnsi" w:cs="Helvetica"/>
          <w:sz w:val="22"/>
          <w:szCs w:val="22"/>
          <w:lang w:val="de-DE"/>
        </w:rPr>
        <w:t xml:space="preserve"> und verschiedene Minderheiten </w:t>
      </w:r>
      <w:hyperlink r:id="rId21" w:history="1">
        <w:r w:rsidRPr="005E2458">
          <w:rPr>
            <w:rFonts w:asciiTheme="majorHAnsi" w:hAnsiTheme="majorHAnsi" w:cs="Helvetica"/>
            <w:sz w:val="22"/>
            <w:szCs w:val="22"/>
            <w:lang w:val="de-DE"/>
          </w:rPr>
          <w:t>jüdischen Glaubens</w:t>
        </w:r>
      </w:hyperlink>
    </w:p>
    <w:p w:rsidR="00D476F7" w:rsidRPr="005E2458" w:rsidRDefault="00D476F7" w:rsidP="00D476F7">
      <w:pPr>
        <w:pStyle w:val="ListParagraph"/>
        <w:rPr>
          <w:rFonts w:asciiTheme="majorHAnsi" w:hAnsiTheme="majorHAnsi"/>
          <w:sz w:val="22"/>
          <w:szCs w:val="22"/>
          <w:lang w:val="ro-RO"/>
        </w:rPr>
      </w:pPr>
    </w:p>
    <w:p w:rsidR="00D476F7" w:rsidRPr="005E2458" w:rsidRDefault="00D476F7" w:rsidP="00D476F7">
      <w:pPr>
        <w:pStyle w:val="ListParagraph"/>
        <w:widowControl w:val="0"/>
        <w:numPr>
          <w:ilvl w:val="0"/>
          <w:numId w:val="1"/>
        </w:numPr>
        <w:autoSpaceDE w:val="0"/>
        <w:autoSpaceDN w:val="0"/>
        <w:adjustRightInd w:val="0"/>
        <w:spacing w:after="140"/>
        <w:jc w:val="both"/>
        <w:rPr>
          <w:rFonts w:asciiTheme="majorHAnsi" w:hAnsiTheme="majorHAnsi" w:cs="Helvetica"/>
          <w:sz w:val="22"/>
          <w:szCs w:val="22"/>
          <w:lang w:val="de-DE"/>
        </w:rPr>
      </w:pPr>
      <w:r w:rsidRPr="005E2458">
        <w:rPr>
          <w:rFonts w:asciiTheme="majorHAnsi" w:hAnsiTheme="majorHAnsi" w:cs="Helvetica"/>
          <w:sz w:val="22"/>
          <w:szCs w:val="22"/>
          <w:lang w:val="de-DE"/>
        </w:rPr>
        <w:t xml:space="preserve">Die zahlenmäßig kleinen </w:t>
      </w:r>
      <w:r w:rsidRPr="005E2458">
        <w:rPr>
          <w:rFonts w:asciiTheme="majorHAnsi" w:hAnsiTheme="majorHAnsi" w:cs="Helvetica"/>
          <w:bCs/>
          <w:sz w:val="22"/>
          <w:szCs w:val="22"/>
          <w:lang w:val="de-DE"/>
        </w:rPr>
        <w:t>indigenen Völker des Nordens, Sibiriens und des Fernen Ostens</w:t>
      </w:r>
      <w:r w:rsidRPr="005E2458">
        <w:rPr>
          <w:rFonts w:asciiTheme="majorHAnsi" w:hAnsiTheme="majorHAnsi" w:cs="Helvetica"/>
          <w:sz w:val="22"/>
          <w:szCs w:val="22"/>
          <w:lang w:val="de-DE"/>
        </w:rPr>
        <w:t xml:space="preserve"> gehören zu den </w:t>
      </w:r>
      <w:hyperlink r:id="rId22" w:history="1">
        <w:r w:rsidRPr="005E2458">
          <w:rPr>
            <w:rFonts w:asciiTheme="majorHAnsi" w:hAnsiTheme="majorHAnsi" w:cs="Helvetica"/>
            <w:sz w:val="22"/>
            <w:szCs w:val="22"/>
            <w:lang w:val="de-DE"/>
          </w:rPr>
          <w:t>indigenen Völkern</w:t>
        </w:r>
      </w:hyperlink>
      <w:r w:rsidRPr="005E2458">
        <w:rPr>
          <w:rFonts w:asciiTheme="majorHAnsi" w:hAnsiTheme="majorHAnsi" w:cs="Helvetica"/>
          <w:sz w:val="22"/>
          <w:szCs w:val="22"/>
          <w:lang w:val="de-DE"/>
        </w:rPr>
        <w:t xml:space="preserve"> der </w:t>
      </w:r>
      <w:hyperlink r:id="rId23" w:history="1">
        <w:r w:rsidRPr="005E2458">
          <w:rPr>
            <w:rFonts w:asciiTheme="majorHAnsi" w:hAnsiTheme="majorHAnsi" w:cs="Helvetica"/>
            <w:sz w:val="22"/>
            <w:szCs w:val="22"/>
            <w:lang w:val="de-DE"/>
          </w:rPr>
          <w:t>Russischen Föderation</w:t>
        </w:r>
      </w:hyperlink>
    </w:p>
    <w:p w:rsidR="00D476F7" w:rsidRPr="005E2458" w:rsidRDefault="00D476F7" w:rsidP="00D476F7">
      <w:pPr>
        <w:pStyle w:val="ListParagraph"/>
        <w:rPr>
          <w:rFonts w:asciiTheme="majorHAnsi" w:hAnsiTheme="majorHAnsi" w:cs="Helvetica"/>
          <w:sz w:val="22"/>
          <w:szCs w:val="22"/>
          <w:lang w:val="de-DE"/>
        </w:rPr>
      </w:pPr>
    </w:p>
    <w:p w:rsidR="00D476F7" w:rsidRPr="005E2458" w:rsidRDefault="00D476F7" w:rsidP="00D476F7">
      <w:pPr>
        <w:pStyle w:val="ListParagraph"/>
        <w:numPr>
          <w:ilvl w:val="0"/>
          <w:numId w:val="1"/>
        </w:numPr>
        <w:jc w:val="both"/>
        <w:rPr>
          <w:rFonts w:asciiTheme="majorHAnsi" w:hAnsiTheme="majorHAnsi"/>
          <w:sz w:val="22"/>
          <w:szCs w:val="22"/>
          <w:lang w:val="ro-RO"/>
        </w:rPr>
      </w:pPr>
      <w:r w:rsidRPr="005E2458">
        <w:rPr>
          <w:rFonts w:asciiTheme="majorHAnsi" w:hAnsiTheme="majorHAnsi" w:cs="Helvetica"/>
          <w:sz w:val="22"/>
          <w:szCs w:val="22"/>
          <w:lang w:val="de-DE"/>
        </w:rPr>
        <w:t xml:space="preserve">Die nichtrussischen Minderheiten sprechen überwiegend Sprachen aus dem Kreis der </w:t>
      </w:r>
      <w:hyperlink r:id="rId24" w:history="1">
        <w:r w:rsidRPr="005E2458">
          <w:rPr>
            <w:rFonts w:asciiTheme="majorHAnsi" w:hAnsiTheme="majorHAnsi" w:cs="Helvetica"/>
            <w:sz w:val="22"/>
            <w:szCs w:val="22"/>
            <w:lang w:val="de-DE"/>
          </w:rPr>
          <w:t>Turksprachen</w:t>
        </w:r>
      </w:hyperlink>
      <w:r w:rsidRPr="005E2458">
        <w:rPr>
          <w:rFonts w:asciiTheme="majorHAnsi" w:hAnsiTheme="majorHAnsi" w:cs="Helvetica"/>
          <w:sz w:val="22"/>
          <w:szCs w:val="22"/>
          <w:lang w:val="de-DE"/>
        </w:rPr>
        <w:t xml:space="preserve">, </w:t>
      </w:r>
      <w:hyperlink r:id="rId25" w:history="1">
        <w:r w:rsidRPr="005E2458">
          <w:rPr>
            <w:rFonts w:asciiTheme="majorHAnsi" w:hAnsiTheme="majorHAnsi" w:cs="Helvetica"/>
            <w:sz w:val="22"/>
            <w:szCs w:val="22"/>
            <w:lang w:val="de-DE"/>
          </w:rPr>
          <w:t>kaukasische Sprachen</w:t>
        </w:r>
      </w:hyperlink>
      <w:r w:rsidRPr="005E2458">
        <w:rPr>
          <w:rFonts w:asciiTheme="majorHAnsi" w:hAnsiTheme="majorHAnsi" w:cs="Helvetica"/>
          <w:sz w:val="22"/>
          <w:szCs w:val="22"/>
          <w:lang w:val="de-DE"/>
        </w:rPr>
        <w:t xml:space="preserve">, </w:t>
      </w:r>
      <w:hyperlink r:id="rId26" w:history="1">
        <w:r w:rsidRPr="005E2458">
          <w:rPr>
            <w:rFonts w:asciiTheme="majorHAnsi" w:hAnsiTheme="majorHAnsi" w:cs="Helvetica"/>
            <w:sz w:val="22"/>
            <w:szCs w:val="22"/>
            <w:lang w:val="de-DE"/>
          </w:rPr>
          <w:t>uralische Sprachen</w:t>
        </w:r>
      </w:hyperlink>
      <w:r w:rsidRPr="005E2458">
        <w:rPr>
          <w:rFonts w:asciiTheme="majorHAnsi" w:hAnsiTheme="majorHAnsi" w:cs="Helvetica"/>
          <w:sz w:val="22"/>
          <w:szCs w:val="22"/>
          <w:lang w:val="de-DE"/>
        </w:rPr>
        <w:t xml:space="preserve"> (</w:t>
      </w:r>
      <w:hyperlink r:id="rId27" w:history="1">
        <w:r w:rsidRPr="005E2458">
          <w:rPr>
            <w:rFonts w:asciiTheme="majorHAnsi" w:hAnsiTheme="majorHAnsi" w:cs="Helvetica"/>
            <w:sz w:val="22"/>
            <w:szCs w:val="22"/>
            <w:lang w:val="de-DE"/>
          </w:rPr>
          <w:t>samojedische Sprachen</w:t>
        </w:r>
      </w:hyperlink>
      <w:r w:rsidRPr="005E2458">
        <w:rPr>
          <w:rFonts w:asciiTheme="majorHAnsi" w:hAnsiTheme="majorHAnsi" w:cs="Helvetica"/>
          <w:sz w:val="22"/>
          <w:szCs w:val="22"/>
          <w:lang w:val="de-DE"/>
        </w:rPr>
        <w:t xml:space="preserve">), </w:t>
      </w:r>
      <w:hyperlink r:id="rId28" w:history="1">
        <w:r w:rsidRPr="005E2458">
          <w:rPr>
            <w:rFonts w:asciiTheme="majorHAnsi" w:hAnsiTheme="majorHAnsi" w:cs="Helvetica"/>
            <w:sz w:val="22"/>
            <w:szCs w:val="22"/>
            <w:lang w:val="de-DE"/>
          </w:rPr>
          <w:t>altaische</w:t>
        </w:r>
      </w:hyperlink>
      <w:r w:rsidRPr="005E2458">
        <w:rPr>
          <w:rFonts w:asciiTheme="majorHAnsi" w:hAnsiTheme="majorHAnsi" w:cs="Helvetica"/>
          <w:sz w:val="22"/>
          <w:szCs w:val="22"/>
          <w:lang w:val="de-DE"/>
        </w:rPr>
        <w:t xml:space="preserve"> oder </w:t>
      </w:r>
      <w:hyperlink r:id="rId29" w:history="1">
        <w:r w:rsidRPr="005E2458">
          <w:rPr>
            <w:rFonts w:asciiTheme="majorHAnsi" w:hAnsiTheme="majorHAnsi" w:cs="Helvetica"/>
            <w:sz w:val="22"/>
            <w:szCs w:val="22"/>
            <w:lang w:val="de-DE"/>
          </w:rPr>
          <w:t>paläosibirische Sprachen</w:t>
        </w:r>
      </w:hyperlink>
      <w:r w:rsidRPr="005E2458">
        <w:rPr>
          <w:rFonts w:asciiTheme="majorHAnsi" w:hAnsiTheme="majorHAnsi" w:cs="Helvetica"/>
          <w:sz w:val="22"/>
          <w:szCs w:val="22"/>
          <w:lang w:val="de-DE"/>
        </w:rPr>
        <w:t>.</w:t>
      </w:r>
    </w:p>
    <w:p w:rsidR="00D476F7" w:rsidRPr="005E2458" w:rsidRDefault="00D476F7" w:rsidP="00D476F7">
      <w:pPr>
        <w:pStyle w:val="ListParagraph"/>
        <w:rPr>
          <w:rFonts w:ascii="Helvetica" w:hAnsi="Helvetica" w:cs="Helvetica"/>
          <w:sz w:val="28"/>
          <w:szCs w:val="28"/>
          <w:lang w:val="de-DE"/>
        </w:rPr>
      </w:pPr>
    </w:p>
    <w:p w:rsidR="005A55AA" w:rsidRPr="005E2458" w:rsidRDefault="005A55AA" w:rsidP="005A55AA">
      <w:pPr>
        <w:pStyle w:val="ListParagraph"/>
        <w:rPr>
          <w:rFonts w:asciiTheme="majorHAnsi" w:hAnsiTheme="majorHAnsi"/>
          <w:sz w:val="22"/>
          <w:szCs w:val="22"/>
          <w:lang w:val="ro-RO"/>
        </w:rPr>
      </w:pPr>
    </w:p>
    <w:p w:rsidR="00020E95" w:rsidRPr="005E2458" w:rsidRDefault="00020E95" w:rsidP="005A55AA">
      <w:pPr>
        <w:jc w:val="both"/>
        <w:rPr>
          <w:rFonts w:asciiTheme="majorHAnsi" w:hAnsiTheme="majorHAnsi"/>
          <w:sz w:val="22"/>
          <w:szCs w:val="22"/>
          <w:lang w:val="ro-RO"/>
        </w:rPr>
      </w:pPr>
    </w:p>
    <w:sectPr w:rsidR="00020E95" w:rsidRPr="005E2458" w:rsidSect="001F17F1">
      <w:pgSz w:w="16840" w:h="11900" w:orient="landscape"/>
      <w:pgMar w:top="851" w:right="1440" w:bottom="1800" w:left="851"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35368"/>
    <w:multiLevelType w:val="hybridMultilevel"/>
    <w:tmpl w:val="2D020596"/>
    <w:lvl w:ilvl="0" w:tplc="04090005">
      <w:start w:val="1"/>
      <w:numFmt w:val="bullet"/>
      <w:lvlText w:val=""/>
      <w:lvlJc w:val="left"/>
      <w:pPr>
        <w:ind w:left="578" w:hanging="360"/>
      </w:pPr>
      <w:rPr>
        <w:rFonts w:ascii="Wingdings" w:hAnsi="Wingdings" w:hint="default"/>
      </w:rPr>
    </w:lvl>
    <w:lvl w:ilvl="1" w:tplc="04090003" w:tentative="1">
      <w:start w:val="1"/>
      <w:numFmt w:val="bullet"/>
      <w:lvlText w:val="o"/>
      <w:lvlJc w:val="left"/>
      <w:pPr>
        <w:ind w:left="1298" w:hanging="360"/>
      </w:pPr>
      <w:rPr>
        <w:rFonts w:ascii="Courier New" w:hAnsi="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1">
    <w:nsid w:val="58311556"/>
    <w:multiLevelType w:val="hybridMultilevel"/>
    <w:tmpl w:val="6018D9B2"/>
    <w:lvl w:ilvl="0" w:tplc="04090005">
      <w:start w:val="1"/>
      <w:numFmt w:val="bullet"/>
      <w:lvlText w:val=""/>
      <w:lvlJc w:val="left"/>
      <w:pPr>
        <w:ind w:left="938" w:hanging="360"/>
      </w:pPr>
      <w:rPr>
        <w:rFonts w:ascii="Wingdings" w:hAnsi="Wingdings" w:hint="default"/>
      </w:rPr>
    </w:lvl>
    <w:lvl w:ilvl="1" w:tplc="04090003" w:tentative="1">
      <w:start w:val="1"/>
      <w:numFmt w:val="bullet"/>
      <w:lvlText w:val="o"/>
      <w:lvlJc w:val="left"/>
      <w:pPr>
        <w:ind w:left="1658" w:hanging="360"/>
      </w:pPr>
      <w:rPr>
        <w:rFonts w:ascii="Courier New" w:hAnsi="Courier New" w:cs="Courier New" w:hint="default"/>
      </w:rPr>
    </w:lvl>
    <w:lvl w:ilvl="2" w:tplc="04090005" w:tentative="1">
      <w:start w:val="1"/>
      <w:numFmt w:val="bullet"/>
      <w:lvlText w:val=""/>
      <w:lvlJc w:val="left"/>
      <w:pPr>
        <w:ind w:left="2378" w:hanging="360"/>
      </w:pPr>
      <w:rPr>
        <w:rFonts w:ascii="Wingdings" w:hAnsi="Wingdings" w:hint="default"/>
      </w:rPr>
    </w:lvl>
    <w:lvl w:ilvl="3" w:tplc="04090001" w:tentative="1">
      <w:start w:val="1"/>
      <w:numFmt w:val="bullet"/>
      <w:lvlText w:val=""/>
      <w:lvlJc w:val="left"/>
      <w:pPr>
        <w:ind w:left="3098" w:hanging="360"/>
      </w:pPr>
      <w:rPr>
        <w:rFonts w:ascii="Symbol" w:hAnsi="Symbol" w:hint="default"/>
      </w:rPr>
    </w:lvl>
    <w:lvl w:ilvl="4" w:tplc="04090003" w:tentative="1">
      <w:start w:val="1"/>
      <w:numFmt w:val="bullet"/>
      <w:lvlText w:val="o"/>
      <w:lvlJc w:val="left"/>
      <w:pPr>
        <w:ind w:left="3818" w:hanging="360"/>
      </w:pPr>
      <w:rPr>
        <w:rFonts w:ascii="Courier New" w:hAnsi="Courier New" w:cs="Courier New" w:hint="default"/>
      </w:rPr>
    </w:lvl>
    <w:lvl w:ilvl="5" w:tplc="04090005" w:tentative="1">
      <w:start w:val="1"/>
      <w:numFmt w:val="bullet"/>
      <w:lvlText w:val=""/>
      <w:lvlJc w:val="left"/>
      <w:pPr>
        <w:ind w:left="4538" w:hanging="360"/>
      </w:pPr>
      <w:rPr>
        <w:rFonts w:ascii="Wingdings" w:hAnsi="Wingdings" w:hint="default"/>
      </w:rPr>
    </w:lvl>
    <w:lvl w:ilvl="6" w:tplc="04090001" w:tentative="1">
      <w:start w:val="1"/>
      <w:numFmt w:val="bullet"/>
      <w:lvlText w:val=""/>
      <w:lvlJc w:val="left"/>
      <w:pPr>
        <w:ind w:left="5258" w:hanging="360"/>
      </w:pPr>
      <w:rPr>
        <w:rFonts w:ascii="Symbol" w:hAnsi="Symbol" w:hint="default"/>
      </w:rPr>
    </w:lvl>
    <w:lvl w:ilvl="7" w:tplc="04090003" w:tentative="1">
      <w:start w:val="1"/>
      <w:numFmt w:val="bullet"/>
      <w:lvlText w:val="o"/>
      <w:lvlJc w:val="left"/>
      <w:pPr>
        <w:ind w:left="5978" w:hanging="360"/>
      </w:pPr>
      <w:rPr>
        <w:rFonts w:ascii="Courier New" w:hAnsi="Courier New" w:cs="Courier New" w:hint="default"/>
      </w:rPr>
    </w:lvl>
    <w:lvl w:ilvl="8" w:tplc="04090005" w:tentative="1">
      <w:start w:val="1"/>
      <w:numFmt w:val="bullet"/>
      <w:lvlText w:val=""/>
      <w:lvlJc w:val="left"/>
      <w:pPr>
        <w:ind w:left="6698" w:hanging="360"/>
      </w:pPr>
      <w:rPr>
        <w:rFonts w:ascii="Wingdings" w:hAnsi="Wingdings" w:hint="default"/>
      </w:rPr>
    </w:lvl>
  </w:abstractNum>
  <w:abstractNum w:abstractNumId="2">
    <w:nsid w:val="6AE07423"/>
    <w:multiLevelType w:val="hybridMultilevel"/>
    <w:tmpl w:val="6C5ED2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savePreviewPicture/>
  <w:compat>
    <w:useFELayout/>
  </w:compat>
  <w:rsids>
    <w:rsidRoot w:val="00805C82"/>
    <w:rsid w:val="00020E95"/>
    <w:rsid w:val="00033075"/>
    <w:rsid w:val="001F17F1"/>
    <w:rsid w:val="00526D14"/>
    <w:rsid w:val="00583FEC"/>
    <w:rsid w:val="00595E87"/>
    <w:rsid w:val="005A55AA"/>
    <w:rsid w:val="005E2458"/>
    <w:rsid w:val="006970F7"/>
    <w:rsid w:val="006B1236"/>
    <w:rsid w:val="00737DAF"/>
    <w:rsid w:val="00784514"/>
    <w:rsid w:val="00805C82"/>
    <w:rsid w:val="00806BC5"/>
    <w:rsid w:val="00A67569"/>
    <w:rsid w:val="00A76337"/>
    <w:rsid w:val="00B97BEC"/>
    <w:rsid w:val="00C14E8A"/>
    <w:rsid w:val="00CB608A"/>
    <w:rsid w:val="00CC5298"/>
    <w:rsid w:val="00D476F7"/>
    <w:rsid w:val="00D60E0D"/>
    <w:rsid w:val="00E23BFD"/>
    <w:rsid w:val="00F90361"/>
    <w:rsid w:val="00FE4E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5C82"/>
    <w:rPr>
      <w:color w:val="0000FF" w:themeColor="hyperlink"/>
      <w:u w:val="single"/>
    </w:rPr>
  </w:style>
  <w:style w:type="paragraph" w:styleId="ListParagraph">
    <w:name w:val="List Paragraph"/>
    <w:basedOn w:val="Normal"/>
    <w:uiPriority w:val="34"/>
    <w:qFormat/>
    <w:rsid w:val="00CB608A"/>
    <w:pPr>
      <w:ind w:left="720"/>
      <w:contextualSpacing/>
    </w:pPr>
  </w:style>
  <w:style w:type="paragraph" w:styleId="BalloonText">
    <w:name w:val="Balloon Text"/>
    <w:basedOn w:val="Normal"/>
    <w:link w:val="BalloonTextChar"/>
    <w:uiPriority w:val="99"/>
    <w:semiHidden/>
    <w:unhideWhenUsed/>
    <w:rsid w:val="00CC529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529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5C82"/>
    <w:rPr>
      <w:color w:val="0000FF" w:themeColor="hyperlink"/>
      <w:u w:val="single"/>
    </w:rPr>
  </w:style>
  <w:style w:type="paragraph" w:styleId="ListParagraph">
    <w:name w:val="List Paragraph"/>
    <w:basedOn w:val="Normal"/>
    <w:uiPriority w:val="34"/>
    <w:qFormat/>
    <w:rsid w:val="00CB608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Russische_Sprache" TargetMode="External"/><Relationship Id="rId13" Type="http://schemas.openxmlformats.org/officeDocument/2006/relationships/hyperlink" Target="http://de.wikipedia.org/wiki/Ethnie" TargetMode="External"/><Relationship Id="rId18" Type="http://schemas.openxmlformats.org/officeDocument/2006/relationships/hyperlink" Target="http://de.wikipedia.org/wiki/Baschkiren" TargetMode="External"/><Relationship Id="rId26" Type="http://schemas.openxmlformats.org/officeDocument/2006/relationships/hyperlink" Target="http://de.wikipedia.org/wiki/Uralische_Sprachen" TargetMode="External"/><Relationship Id="rId3" Type="http://schemas.openxmlformats.org/officeDocument/2006/relationships/settings" Target="settings.xml"/><Relationship Id="rId21" Type="http://schemas.openxmlformats.org/officeDocument/2006/relationships/hyperlink" Target="http://de.wikipedia.org/wiki/Geschichte_der_Juden_in_Russland" TargetMode="External"/><Relationship Id="rId7" Type="http://schemas.openxmlformats.org/officeDocument/2006/relationships/hyperlink" Target="http://de.wikipedia.org/wiki/F%C3%B6derationssubjekt" TargetMode="External"/><Relationship Id="rId12" Type="http://schemas.openxmlformats.org/officeDocument/2006/relationships/hyperlink" Target="http://de.wikipedia.org/wiki/Titularnation" TargetMode="External"/><Relationship Id="rId17" Type="http://schemas.openxmlformats.org/officeDocument/2006/relationships/hyperlink" Target="http://de.wikipedia.org/wiki/Tschuwaschen" TargetMode="External"/><Relationship Id="rId25" Type="http://schemas.openxmlformats.org/officeDocument/2006/relationships/hyperlink" Target="http://de.wikipedia.org/wiki/Kaukasische_Sprachen" TargetMode="External"/><Relationship Id="rId2" Type="http://schemas.openxmlformats.org/officeDocument/2006/relationships/styles" Target="styles.xml"/><Relationship Id="rId16" Type="http://schemas.openxmlformats.org/officeDocument/2006/relationships/hyperlink" Target="http://de.wikipedia.org/wiki/Armenier" TargetMode="External"/><Relationship Id="rId20" Type="http://schemas.openxmlformats.org/officeDocument/2006/relationships/hyperlink" Target="http://de.wikipedia.org/wiki/Mescheten" TargetMode="External"/><Relationship Id="rId29" Type="http://schemas.openxmlformats.org/officeDocument/2006/relationships/hyperlink" Target="http://de.wikipedia.org/wiki/Pal%C3%A4osibirische_Sprachen" TargetMode="External"/><Relationship Id="rId1" Type="http://schemas.openxmlformats.org/officeDocument/2006/relationships/numbering" Target="numbering.xml"/><Relationship Id="rId6" Type="http://schemas.openxmlformats.org/officeDocument/2006/relationships/hyperlink" Target="http://de.wikipedia.org/wiki/Russland" TargetMode="External"/><Relationship Id="rId11" Type="http://schemas.openxmlformats.org/officeDocument/2006/relationships/hyperlink" Target="http://de.wikipedia.org/wiki/Tatarstan" TargetMode="External"/><Relationship Id="rId24" Type="http://schemas.openxmlformats.org/officeDocument/2006/relationships/hyperlink" Target="http://de.wikipedia.org/wiki/Turksprachen" TargetMode="External"/><Relationship Id="rId32" Type="http://schemas.microsoft.com/office/2007/relationships/stylesWithEffects" Target="stylesWithEffects.xml"/><Relationship Id="rId5" Type="http://schemas.openxmlformats.org/officeDocument/2006/relationships/hyperlink" Target="mailto:rusualexandrar@gmail.com" TargetMode="External"/><Relationship Id="rId15" Type="http://schemas.openxmlformats.org/officeDocument/2006/relationships/hyperlink" Target="http://de.wikipedia.org/wiki/Ukrainer" TargetMode="External"/><Relationship Id="rId23" Type="http://schemas.openxmlformats.org/officeDocument/2006/relationships/hyperlink" Target="http://de.wikipedia.org/wiki/Russische_F%C3%B6deration" TargetMode="External"/><Relationship Id="rId28" Type="http://schemas.openxmlformats.org/officeDocument/2006/relationships/hyperlink" Target="http://de.wikipedia.org/wiki/Altaische_Sprachen" TargetMode="External"/><Relationship Id="rId10" Type="http://schemas.openxmlformats.org/officeDocument/2006/relationships/hyperlink" Target="http://de.wikipedia.org/wiki/Kyrillisches_Alphabet" TargetMode="External"/><Relationship Id="rId19" Type="http://schemas.openxmlformats.org/officeDocument/2006/relationships/hyperlink" Target="http://de.wikipedia.org/wiki/Russlanddeutsch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e.wikipedia.org/wiki/Amtssprache" TargetMode="External"/><Relationship Id="rId14" Type="http://schemas.openxmlformats.org/officeDocument/2006/relationships/hyperlink" Target="http://de.wikipedia.org/wiki/Tataren" TargetMode="External"/><Relationship Id="rId22" Type="http://schemas.openxmlformats.org/officeDocument/2006/relationships/hyperlink" Target="http://de.wikipedia.org/wiki/Indigene_V%C3%B6lker" TargetMode="External"/><Relationship Id="rId27" Type="http://schemas.openxmlformats.org/officeDocument/2006/relationships/hyperlink" Target="http://de.wikipedia.org/wiki/Samojedische_Sprachen"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4377</Characters>
  <Application>Microsoft Office Word</Application>
  <DocSecurity>0</DocSecurity>
  <Lines>36</Lines>
  <Paragraphs>10</Paragraphs>
  <ScaleCrop>false</ScaleCrop>
  <Company/>
  <LinksUpToDate>false</LinksUpToDate>
  <CharactersWithSpaces>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Rusu Lia</dc:creator>
  <cp:keywords/>
  <dc:description/>
  <cp:lastModifiedBy>User</cp:lastModifiedBy>
  <cp:revision>3</cp:revision>
  <dcterms:created xsi:type="dcterms:W3CDTF">2014-06-12T11:58:00Z</dcterms:created>
  <dcterms:modified xsi:type="dcterms:W3CDTF">2014-06-12T12:13:00Z</dcterms:modified>
</cp:coreProperties>
</file>