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1F8" w:rsidRDefault="008061F8" w:rsidP="00027E8D">
      <w:pPr>
        <w:spacing w:after="0" w:line="240" w:lineRule="auto"/>
        <w:jc w:val="center"/>
        <w:rPr>
          <w:rFonts w:ascii="Times New Roman" w:hAnsi="Times New Roman" w:cs="Times New Roman"/>
          <w:sz w:val="24"/>
          <w:szCs w:val="24"/>
        </w:rPr>
      </w:pPr>
    </w:p>
    <w:p w:rsidR="008061F8" w:rsidRDefault="008061F8" w:rsidP="00027E8D">
      <w:pPr>
        <w:spacing w:after="0" w:line="240" w:lineRule="auto"/>
        <w:jc w:val="center"/>
        <w:rPr>
          <w:rFonts w:ascii="Times New Roman" w:hAnsi="Times New Roman" w:cs="Times New Roman"/>
          <w:sz w:val="24"/>
          <w:szCs w:val="24"/>
        </w:rPr>
      </w:pPr>
    </w:p>
    <w:p w:rsidR="008061F8" w:rsidRDefault="008061F8" w:rsidP="00027E8D">
      <w:pPr>
        <w:spacing w:after="0" w:line="240" w:lineRule="auto"/>
        <w:jc w:val="center"/>
        <w:rPr>
          <w:rFonts w:ascii="Times New Roman" w:hAnsi="Times New Roman" w:cs="Times New Roman"/>
          <w:sz w:val="24"/>
          <w:szCs w:val="24"/>
        </w:rPr>
      </w:pPr>
    </w:p>
    <w:p w:rsidR="008061F8" w:rsidRDefault="008061F8" w:rsidP="00027E8D">
      <w:pPr>
        <w:spacing w:after="0" w:line="240" w:lineRule="auto"/>
        <w:jc w:val="center"/>
        <w:rPr>
          <w:rFonts w:ascii="Times New Roman" w:hAnsi="Times New Roman" w:cs="Times New Roman"/>
          <w:sz w:val="24"/>
          <w:szCs w:val="24"/>
        </w:rPr>
      </w:pPr>
    </w:p>
    <w:p w:rsidR="00027E8D" w:rsidRDefault="00027E8D" w:rsidP="00027E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PROPOSAL PROGRAM</w:t>
      </w:r>
    </w:p>
    <w:p w:rsidR="00027E8D" w:rsidRPr="00027E8D" w:rsidRDefault="00027E8D" w:rsidP="00027E8D">
      <w:pPr>
        <w:spacing w:after="0" w:line="240" w:lineRule="auto"/>
        <w:jc w:val="center"/>
        <w:rPr>
          <w:rFonts w:ascii="MS PMincho" w:eastAsia="MS PMincho" w:hAnsi="MS PMincho" w:cs="Times New Roman"/>
          <w:b/>
          <w:sz w:val="24"/>
          <w:szCs w:val="24"/>
        </w:rPr>
      </w:pPr>
      <w:r w:rsidRPr="00027E8D">
        <w:rPr>
          <w:rFonts w:ascii="MS PMincho" w:eastAsia="MS PMincho" w:hAnsi="MS PMincho" w:cs="Times New Roman"/>
          <w:b/>
          <w:sz w:val="54"/>
          <w:szCs w:val="24"/>
        </w:rPr>
        <w:t>PEMBENTUKAN DIVISI PENDIDIKAN</w:t>
      </w:r>
    </w:p>
    <w:p w:rsidR="00027E8D" w:rsidRDefault="00027E8D" w:rsidP="00027E8D">
      <w:pPr>
        <w:spacing w:after="0" w:line="240" w:lineRule="auto"/>
        <w:jc w:val="center"/>
        <w:rPr>
          <w:rFonts w:ascii="Times New Roman" w:hAnsi="Times New Roman" w:cs="Times New Roman"/>
          <w:sz w:val="24"/>
          <w:szCs w:val="24"/>
        </w:rPr>
      </w:pPr>
    </w:p>
    <w:p w:rsidR="00027E8D" w:rsidRDefault="00027E8D" w:rsidP="00027E8D">
      <w:pPr>
        <w:spacing w:after="0" w:line="240" w:lineRule="auto"/>
        <w:jc w:val="center"/>
        <w:rPr>
          <w:rFonts w:ascii="Times New Roman" w:hAnsi="Times New Roman" w:cs="Times New Roman"/>
          <w:sz w:val="24"/>
          <w:szCs w:val="24"/>
        </w:rPr>
      </w:pPr>
    </w:p>
    <w:p w:rsidR="00027E8D" w:rsidRDefault="00027E8D" w:rsidP="00027E8D">
      <w:pPr>
        <w:spacing w:after="0" w:line="240" w:lineRule="auto"/>
        <w:jc w:val="center"/>
        <w:rPr>
          <w:rFonts w:ascii="Times New Roman" w:hAnsi="Times New Roman" w:cs="Times New Roman"/>
          <w:sz w:val="24"/>
          <w:szCs w:val="24"/>
        </w:rPr>
      </w:pPr>
    </w:p>
    <w:p w:rsidR="008061F8" w:rsidRDefault="008061F8" w:rsidP="00027E8D">
      <w:pPr>
        <w:spacing w:after="0" w:line="240" w:lineRule="auto"/>
        <w:jc w:val="center"/>
        <w:rPr>
          <w:rFonts w:ascii="Times New Roman" w:hAnsi="Times New Roman" w:cs="Times New Roman"/>
          <w:sz w:val="24"/>
          <w:szCs w:val="24"/>
        </w:rPr>
      </w:pPr>
    </w:p>
    <w:p w:rsidR="008061F8" w:rsidRDefault="008061F8" w:rsidP="00027E8D">
      <w:pPr>
        <w:spacing w:after="0" w:line="240" w:lineRule="auto"/>
        <w:jc w:val="center"/>
        <w:rPr>
          <w:rFonts w:ascii="Times New Roman" w:hAnsi="Times New Roman" w:cs="Times New Roman"/>
          <w:sz w:val="24"/>
          <w:szCs w:val="24"/>
        </w:rPr>
      </w:pPr>
    </w:p>
    <w:p w:rsidR="008061F8" w:rsidRDefault="008061F8" w:rsidP="00027E8D">
      <w:pPr>
        <w:spacing w:after="0" w:line="240" w:lineRule="auto"/>
        <w:jc w:val="center"/>
        <w:rPr>
          <w:rFonts w:ascii="Times New Roman" w:hAnsi="Times New Roman" w:cs="Times New Roman"/>
          <w:sz w:val="24"/>
          <w:szCs w:val="24"/>
        </w:rPr>
      </w:pPr>
    </w:p>
    <w:p w:rsidR="008061F8" w:rsidRDefault="008061F8" w:rsidP="00027E8D">
      <w:pPr>
        <w:spacing w:after="0" w:line="240" w:lineRule="auto"/>
        <w:jc w:val="center"/>
        <w:rPr>
          <w:rFonts w:ascii="Times New Roman" w:hAnsi="Times New Roman" w:cs="Times New Roman"/>
          <w:sz w:val="24"/>
          <w:szCs w:val="24"/>
        </w:rPr>
      </w:pPr>
    </w:p>
    <w:p w:rsidR="00027E8D" w:rsidRDefault="00027E8D" w:rsidP="00027E8D">
      <w:pPr>
        <w:jc w:val="center"/>
        <w:rPr>
          <w:rFonts w:ascii="Times New Roman" w:hAnsi="Times New Roman" w:cs="Times New Roman"/>
          <w:sz w:val="24"/>
          <w:szCs w:val="24"/>
        </w:rPr>
      </w:pPr>
    </w:p>
    <w:p w:rsidR="008061F8" w:rsidRDefault="008061F8" w:rsidP="00027E8D">
      <w:pPr>
        <w:jc w:val="center"/>
        <w:rPr>
          <w:rFonts w:ascii="Times New Roman" w:hAnsi="Times New Roman" w:cs="Times New Roman"/>
          <w:sz w:val="24"/>
          <w:szCs w:val="24"/>
        </w:rPr>
      </w:pPr>
      <w:r>
        <w:rPr>
          <w:rFonts w:ascii="Times New Roman" w:hAnsi="Times New Roman" w:cs="Times New Roman"/>
          <w:noProof/>
          <w:sz w:val="24"/>
          <w:szCs w:val="24"/>
          <w:lang w:eastAsia="en-GB"/>
        </w:rPr>
        <w:drawing>
          <wp:inline distT="0" distB="0" distL="0" distR="0">
            <wp:extent cx="5488615" cy="2570066"/>
            <wp:effectExtent l="19050" t="0" r="0" b="0"/>
            <wp:docPr id="8" name="Picture 7" descr="pin-pdskj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pdskji.jpg"/>
                    <pic:cNvPicPr/>
                  </pic:nvPicPr>
                  <pic:blipFill>
                    <a:blip r:embed="rId7"/>
                    <a:stretch>
                      <a:fillRect/>
                    </a:stretch>
                  </pic:blipFill>
                  <pic:spPr>
                    <a:xfrm>
                      <a:off x="0" y="0"/>
                      <a:ext cx="5499453" cy="2575141"/>
                    </a:xfrm>
                    <a:prstGeom prst="rect">
                      <a:avLst/>
                    </a:prstGeom>
                  </pic:spPr>
                </pic:pic>
              </a:graphicData>
            </a:graphic>
          </wp:inline>
        </w:drawing>
      </w: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8"/>
          <w:szCs w:val="24"/>
        </w:rPr>
      </w:pPr>
    </w:p>
    <w:p w:rsidR="008061F8" w:rsidRDefault="008061F8" w:rsidP="008061F8">
      <w:pPr>
        <w:spacing w:after="0" w:line="240" w:lineRule="auto"/>
        <w:jc w:val="center"/>
        <w:rPr>
          <w:rFonts w:ascii="Times New Roman" w:hAnsi="Times New Roman" w:cs="Times New Roman"/>
          <w:sz w:val="24"/>
          <w:szCs w:val="24"/>
        </w:rPr>
      </w:pPr>
      <w:r w:rsidRPr="00027E8D">
        <w:rPr>
          <w:rFonts w:ascii="Times New Roman" w:hAnsi="Times New Roman" w:cs="Times New Roman"/>
          <w:sz w:val="28"/>
          <w:szCs w:val="24"/>
        </w:rPr>
        <w:t>PERHIMPUNAN DOKTER SPESIALIS KEDOKTERAN JIWA INDONESIA</w:t>
      </w:r>
    </w:p>
    <w:p w:rsidR="008061F8" w:rsidRDefault="008061F8" w:rsidP="00027E8D">
      <w:pPr>
        <w:jc w:val="center"/>
        <w:rPr>
          <w:rFonts w:ascii="Times New Roman" w:hAnsi="Times New Roman" w:cs="Times New Roman"/>
          <w:sz w:val="24"/>
          <w:szCs w:val="24"/>
        </w:rPr>
      </w:pPr>
      <w:r w:rsidRPr="008061F8">
        <w:rPr>
          <w:rFonts w:ascii="Times New Roman" w:hAnsi="Times New Roman" w:cs="Times New Roman"/>
          <w:sz w:val="28"/>
          <w:szCs w:val="24"/>
        </w:rPr>
        <w:t>2015</w:t>
      </w:r>
    </w:p>
    <w:p w:rsidR="008061F8" w:rsidRDefault="008061F8" w:rsidP="00027E8D">
      <w:pPr>
        <w:jc w:val="center"/>
        <w:rPr>
          <w:rFonts w:ascii="Times New Roman" w:hAnsi="Times New Roman" w:cs="Times New Roman"/>
          <w:sz w:val="24"/>
          <w:szCs w:val="24"/>
        </w:rPr>
      </w:pPr>
    </w:p>
    <w:p w:rsidR="008061F8" w:rsidRDefault="008061F8" w:rsidP="00027E8D">
      <w:pPr>
        <w:jc w:val="center"/>
        <w:rPr>
          <w:rFonts w:ascii="Times New Roman" w:hAnsi="Times New Roman" w:cs="Times New Roman"/>
          <w:sz w:val="24"/>
          <w:szCs w:val="24"/>
        </w:rPr>
      </w:pPr>
    </w:p>
    <w:p w:rsidR="008061F8" w:rsidRDefault="008061F8" w:rsidP="00027E8D">
      <w:pPr>
        <w:jc w:val="center"/>
        <w:rPr>
          <w:rFonts w:ascii="Times New Roman" w:hAnsi="Times New Roman" w:cs="Times New Roman"/>
          <w:sz w:val="24"/>
          <w:szCs w:val="24"/>
        </w:rPr>
        <w:sectPr w:rsidR="008061F8" w:rsidSect="000A0292">
          <w:footerReference w:type="default" r:id="rId8"/>
          <w:pgSz w:w="11906" w:h="16838"/>
          <w:pgMar w:top="1440" w:right="1440" w:bottom="1440" w:left="1440" w:header="720" w:footer="720" w:gutter="0"/>
          <w:cols w:space="720"/>
          <w:docGrid w:linePitch="360"/>
        </w:sectPr>
      </w:pPr>
    </w:p>
    <w:p w:rsidR="00B83827" w:rsidRDefault="0068255C" w:rsidP="00416AC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PROPOSAL PEMBENTUKAN DIVISI PENDIDIKAN </w:t>
      </w:r>
      <w:r w:rsidR="00416ACB">
        <w:rPr>
          <w:rFonts w:ascii="Times New Roman" w:hAnsi="Times New Roman" w:cs="Times New Roman"/>
          <w:sz w:val="24"/>
          <w:szCs w:val="24"/>
        </w:rPr>
        <w:t>PDSKJI</w:t>
      </w:r>
    </w:p>
    <w:p w:rsidR="00416ACB" w:rsidRDefault="00416ACB" w:rsidP="00416ACB">
      <w:pPr>
        <w:spacing w:after="0" w:line="240" w:lineRule="auto"/>
        <w:jc w:val="center"/>
        <w:rPr>
          <w:rFonts w:ascii="Times New Roman" w:hAnsi="Times New Roman" w:cs="Times New Roman"/>
          <w:sz w:val="16"/>
          <w:szCs w:val="24"/>
        </w:rPr>
      </w:pPr>
      <w:r>
        <w:rPr>
          <w:rFonts w:ascii="Times New Roman" w:hAnsi="Times New Roman" w:cs="Times New Roman"/>
          <w:sz w:val="16"/>
          <w:szCs w:val="24"/>
        </w:rPr>
        <w:t>Oleh Diyaz Syauki Ikhsan</w:t>
      </w:r>
    </w:p>
    <w:p w:rsidR="00D15E8B" w:rsidRDefault="00416ACB" w:rsidP="00D15E8B">
      <w:pPr>
        <w:spacing w:after="0" w:line="240" w:lineRule="auto"/>
        <w:jc w:val="center"/>
        <w:rPr>
          <w:rFonts w:ascii="Times New Roman" w:hAnsi="Times New Roman" w:cs="Times New Roman"/>
          <w:sz w:val="16"/>
          <w:szCs w:val="24"/>
        </w:rPr>
      </w:pPr>
      <w:r>
        <w:rPr>
          <w:rFonts w:ascii="Times New Roman" w:hAnsi="Times New Roman" w:cs="Times New Roman"/>
          <w:sz w:val="16"/>
          <w:szCs w:val="24"/>
        </w:rPr>
        <w:t>S</w:t>
      </w:r>
      <w:r w:rsidR="00D15E8B">
        <w:rPr>
          <w:rFonts w:ascii="Times New Roman" w:hAnsi="Times New Roman" w:cs="Times New Roman"/>
          <w:sz w:val="16"/>
          <w:szCs w:val="24"/>
        </w:rPr>
        <w:t>ebagai Tugas Psikiatri Komunitas</w:t>
      </w:r>
    </w:p>
    <w:p w:rsidR="00D15E8B" w:rsidRPr="00416ACB" w:rsidRDefault="00D15E8B" w:rsidP="00D15E8B">
      <w:pPr>
        <w:spacing w:after="0" w:line="360" w:lineRule="auto"/>
        <w:jc w:val="center"/>
        <w:rPr>
          <w:rFonts w:ascii="Times New Roman" w:hAnsi="Times New Roman" w:cs="Times New Roman"/>
          <w:sz w:val="16"/>
          <w:szCs w:val="24"/>
        </w:rPr>
      </w:pPr>
      <w:r>
        <w:rPr>
          <w:rFonts w:ascii="Times New Roman" w:hAnsi="Times New Roman" w:cs="Times New Roman"/>
          <w:sz w:val="16"/>
          <w:szCs w:val="24"/>
        </w:rPr>
        <w:t>Periode Januari – Juni 2015</w:t>
      </w:r>
    </w:p>
    <w:p w:rsidR="00D237B7" w:rsidRPr="00244497" w:rsidRDefault="00D237B7" w:rsidP="00244497">
      <w:pPr>
        <w:spacing w:after="0" w:line="360" w:lineRule="auto"/>
        <w:jc w:val="both"/>
        <w:rPr>
          <w:rFonts w:ascii="Times New Roman" w:hAnsi="Times New Roman" w:cs="Times New Roman"/>
          <w:sz w:val="24"/>
          <w:szCs w:val="24"/>
        </w:rPr>
      </w:pPr>
    </w:p>
    <w:p w:rsidR="00D237B7" w:rsidRPr="00244497" w:rsidRDefault="00D237B7"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1. Latar Belakang</w:t>
      </w:r>
    </w:p>
    <w:p w:rsidR="005A3BA0" w:rsidRPr="00244497" w:rsidRDefault="005A3BA0"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Masalah kesehatan jiwa merupakan </w:t>
      </w:r>
      <w:r w:rsidR="004758C7">
        <w:rPr>
          <w:rFonts w:ascii="Times New Roman" w:hAnsi="Times New Roman" w:cs="Times New Roman"/>
          <w:sz w:val="24"/>
          <w:szCs w:val="24"/>
        </w:rPr>
        <w:t xml:space="preserve">salah satu </w:t>
      </w:r>
      <w:r w:rsidRPr="00244497">
        <w:rPr>
          <w:rFonts w:ascii="Times New Roman" w:hAnsi="Times New Roman" w:cs="Times New Roman"/>
          <w:sz w:val="24"/>
          <w:szCs w:val="24"/>
        </w:rPr>
        <w:t xml:space="preserve">yang menjadi perhatian dalam masalah kesehatan di Indonesia. Perhatian akan masalah ini mengalami pembaharuan dengan disahkannya Undang-undang kesehatan jiwa pada tahun 2014. Dalam UU tersebut, perhatian akan masalah kejiwaan tidak lagi dibebankan kepada tenaga profesional semata, dengan masyarakat juga dituntut untuk berperan aktif. Meski demikian, sebagian besar dari masyarakat masih belum </w:t>
      </w:r>
      <w:r w:rsidR="00175560">
        <w:rPr>
          <w:rFonts w:ascii="Times New Roman" w:hAnsi="Times New Roman" w:cs="Times New Roman"/>
          <w:sz w:val="24"/>
          <w:szCs w:val="24"/>
        </w:rPr>
        <w:t>cukup</w:t>
      </w:r>
      <w:r w:rsidRPr="00244497">
        <w:rPr>
          <w:rFonts w:ascii="Times New Roman" w:hAnsi="Times New Roman" w:cs="Times New Roman"/>
          <w:sz w:val="24"/>
          <w:szCs w:val="24"/>
        </w:rPr>
        <w:t xml:space="preserve"> memahami mengenai kesehatan jiwa. Oleh karena itu, agar masyarakat dapat memberikan peran yang optimal, sebaiknya pemahaman ini dibekali terlebih dahulu. Dalam hal pembekalan pemahaman kesehatan jiwa ini, tenaga profesional masih menjadi tumpuan untuk mengawali rangkaian aksinya, dan salah satu kelompok yang paling awal dalam rangkaian ini adalah dokter spesialis kedokteran jiwa, atau yang juga dikenal dengan sebutan psikiater.</w:t>
      </w:r>
    </w:p>
    <w:p w:rsidR="00667A51" w:rsidRPr="00244497" w:rsidRDefault="005A3BA0"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Masalah kemudian timbul ketika melihat jumlah psikiater. Data menunjukkan bahwa di Indonesia terdapat 773 psikiater, yang menjadikan perbandingan dengan jumlah penduduk Indonesia baru mencapai angka 0,32 per 100.000 penduduk, jauh di bawah standar yang ditetapkan WHO, yakni 1 per 30.000 penduduk</w:t>
      </w:r>
      <w:r w:rsidR="00A54334" w:rsidRPr="00244497">
        <w:rPr>
          <w:rFonts w:ascii="Times New Roman" w:hAnsi="Times New Roman" w:cs="Times New Roman"/>
          <w:sz w:val="24"/>
          <w:szCs w:val="24"/>
        </w:rPr>
        <w:t xml:space="preserve"> (sekitar 8000 psikiater Indonesia)</w:t>
      </w:r>
      <w:r w:rsidRPr="00244497">
        <w:rPr>
          <w:rFonts w:ascii="Times New Roman" w:hAnsi="Times New Roman" w:cs="Times New Roman"/>
          <w:sz w:val="24"/>
          <w:szCs w:val="24"/>
        </w:rPr>
        <w:t>.</w:t>
      </w:r>
      <w:r w:rsidR="003F3E99" w:rsidRPr="00244497">
        <w:rPr>
          <w:rFonts w:ascii="Times New Roman" w:hAnsi="Times New Roman" w:cs="Times New Roman"/>
          <w:sz w:val="24"/>
          <w:szCs w:val="24"/>
        </w:rPr>
        <w:t xml:space="preserve"> Dengan demikian, </w:t>
      </w:r>
      <w:r w:rsidR="006B27F9" w:rsidRPr="00244497">
        <w:rPr>
          <w:rFonts w:ascii="Times New Roman" w:hAnsi="Times New Roman" w:cs="Times New Roman"/>
          <w:sz w:val="24"/>
          <w:szCs w:val="24"/>
        </w:rPr>
        <w:t>aktivitas</w:t>
      </w:r>
      <w:r w:rsidR="003F3E99" w:rsidRPr="00244497">
        <w:rPr>
          <w:rFonts w:ascii="Times New Roman" w:hAnsi="Times New Roman" w:cs="Times New Roman"/>
          <w:sz w:val="24"/>
          <w:szCs w:val="24"/>
        </w:rPr>
        <w:t xml:space="preserve"> mencetak tenaga psikiater menjadi salah </w:t>
      </w:r>
      <w:r w:rsidR="006B27F9" w:rsidRPr="00244497">
        <w:rPr>
          <w:rFonts w:ascii="Times New Roman" w:hAnsi="Times New Roman" w:cs="Times New Roman"/>
          <w:sz w:val="24"/>
          <w:szCs w:val="24"/>
        </w:rPr>
        <w:t>satu prioritas dalam menjalankan amanah UU tersebut. Sejauh ini, satu-satunya institusi yang memiliki kewenangan untuk mencetak tenaga psikiater baru adalah Fakultas Kedokteran (FK), dengan Program Pendidikan Dokter Spesialis (PPDS)-nya. Di Indonesia, jumlah FK dengan PPDS Psikiatri tidak mencapai 10 institusi, dengan perkiraan lulusan yang dicetak</w:t>
      </w:r>
      <w:r w:rsidR="00A54334" w:rsidRPr="00244497">
        <w:rPr>
          <w:rFonts w:ascii="Times New Roman" w:hAnsi="Times New Roman" w:cs="Times New Roman"/>
          <w:sz w:val="24"/>
          <w:szCs w:val="24"/>
        </w:rPr>
        <w:t xml:space="preserve"> per tahun sekitar 50 psikiater baru. Dengan </w:t>
      </w:r>
      <w:r w:rsidR="0068702B" w:rsidRPr="00244497">
        <w:rPr>
          <w:rFonts w:ascii="Times New Roman" w:hAnsi="Times New Roman" w:cs="Times New Roman"/>
          <w:sz w:val="24"/>
          <w:szCs w:val="24"/>
        </w:rPr>
        <w:t>kecepatan ini</w:t>
      </w:r>
      <w:r w:rsidR="00A54334" w:rsidRPr="00244497">
        <w:rPr>
          <w:rFonts w:ascii="Times New Roman" w:hAnsi="Times New Roman" w:cs="Times New Roman"/>
          <w:sz w:val="24"/>
          <w:szCs w:val="24"/>
        </w:rPr>
        <w:t>, dibutuhkan waktu yang sangat lama untuk mengejar standar WHO yang tersebut di atas</w:t>
      </w:r>
      <w:r w:rsidR="00667A51" w:rsidRPr="00244497">
        <w:rPr>
          <w:rFonts w:ascii="Times New Roman" w:hAnsi="Times New Roman" w:cs="Times New Roman"/>
          <w:sz w:val="24"/>
          <w:szCs w:val="24"/>
        </w:rPr>
        <w:t>, yakni lebih dari 100 tahun lagi</w:t>
      </w:r>
      <w:r w:rsidR="00A54334" w:rsidRPr="00244497">
        <w:rPr>
          <w:rFonts w:ascii="Times New Roman" w:hAnsi="Times New Roman" w:cs="Times New Roman"/>
          <w:sz w:val="24"/>
          <w:szCs w:val="24"/>
        </w:rPr>
        <w:t>.</w:t>
      </w:r>
      <w:r w:rsidR="0068702B" w:rsidRPr="00244497">
        <w:rPr>
          <w:rFonts w:ascii="Times New Roman" w:hAnsi="Times New Roman" w:cs="Times New Roman"/>
          <w:sz w:val="24"/>
          <w:szCs w:val="24"/>
        </w:rPr>
        <w:t xml:space="preserve"> Satu hal yang bisa diharapkan adalah, apabila setiap psikiater baru memiliki peran serta dalam pendidikan psikiatri selanjutnya, maka setiap tahunnya akan didapatkan suatu percepata</w:t>
      </w:r>
      <w:r w:rsidR="00667A51" w:rsidRPr="00244497">
        <w:rPr>
          <w:rFonts w:ascii="Times New Roman" w:hAnsi="Times New Roman" w:cs="Times New Roman"/>
          <w:sz w:val="24"/>
          <w:szCs w:val="24"/>
        </w:rPr>
        <w:t>n dalam penambahan lulusan baru.</w:t>
      </w:r>
    </w:p>
    <w:p w:rsidR="009D3E6E" w:rsidRPr="00244497" w:rsidRDefault="000D23AF"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Rangkaian pendidikan yang disediakan PPDS dirancang dalam suatu kurikulum yang menyertakan berbagai kompetensi di berbagai bidang. Seperti halnya pendidikan profesi lain, supervisi dari ahli, dalam hal ini staf pendidik atau guru, memegang peranan penting untuk mencapai kompetensi ini. </w:t>
      </w:r>
      <w:r w:rsidR="000A48B9" w:rsidRPr="00244497">
        <w:rPr>
          <w:rFonts w:ascii="Times New Roman" w:hAnsi="Times New Roman" w:cs="Times New Roman"/>
          <w:sz w:val="24"/>
          <w:szCs w:val="24"/>
        </w:rPr>
        <w:t xml:space="preserve">Selain dalam memberikan pendidikan formal, guru juga merupakan </w:t>
      </w:r>
      <w:r w:rsidR="000A48B9" w:rsidRPr="00244497">
        <w:rPr>
          <w:rFonts w:ascii="Times New Roman" w:hAnsi="Times New Roman" w:cs="Times New Roman"/>
          <w:sz w:val="24"/>
          <w:szCs w:val="24"/>
        </w:rPr>
        <w:lastRenderedPageBreak/>
        <w:t>sumber teladan yang utama dalam menjalankan profesi sesuai dengan etika yang disepakati.</w:t>
      </w:r>
      <w:r w:rsidR="00DA63ED" w:rsidRPr="00244497">
        <w:rPr>
          <w:rFonts w:ascii="Times New Roman" w:hAnsi="Times New Roman" w:cs="Times New Roman"/>
          <w:sz w:val="24"/>
          <w:szCs w:val="24"/>
        </w:rPr>
        <w:t xml:space="preserve"> Ketidakhadiran dan kesulitan ditemui, masalah yang sehari-hari ditemui dalam pendidikan psikiatri, menjadikan nilai yang bisa diteladani dari guru bisa menurun.</w:t>
      </w:r>
      <w:r w:rsidR="005E01D0" w:rsidRPr="00244497">
        <w:rPr>
          <w:rFonts w:ascii="Times New Roman" w:hAnsi="Times New Roman" w:cs="Times New Roman"/>
          <w:sz w:val="24"/>
          <w:szCs w:val="24"/>
        </w:rPr>
        <w:t xml:space="preserve"> Sekali lagi, apabila guru tidak meluangkan waktu untuk memberikan supervisi yang mendalam dalam tiap bidang kompetensi yang diamanahkan untuk dicapai masing-masing peserta PPDS, maka psikiater yang baru lulus bisa saja tidak mendalami masing-masing kompetensi tersebut.</w:t>
      </w:r>
      <w:r w:rsidR="00E34163" w:rsidRPr="00244497">
        <w:rPr>
          <w:rFonts w:ascii="Times New Roman" w:hAnsi="Times New Roman" w:cs="Times New Roman"/>
          <w:sz w:val="24"/>
          <w:szCs w:val="24"/>
        </w:rPr>
        <w:t xml:space="preserve"> Dan mengingat bahwa pendidikan dokter secara umum adalah pendidikan sepanjang hayat, faktor teladan serta kecintaan terhadap psikiatri merupakan satu hal yang sebaiknya diperhatikan agar menjamin konsep tersebut dapat tercapai.</w:t>
      </w:r>
    </w:p>
    <w:p w:rsidR="002E61E5" w:rsidRPr="00244497" w:rsidRDefault="002E61E5"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Satu badan yang memegang kendali dan kuasa yang relatif besar adalah </w:t>
      </w:r>
      <w:r w:rsidR="00605809" w:rsidRPr="00244497">
        <w:rPr>
          <w:rFonts w:ascii="Times New Roman" w:hAnsi="Times New Roman" w:cs="Times New Roman"/>
          <w:sz w:val="24"/>
          <w:szCs w:val="24"/>
        </w:rPr>
        <w:t>kolegium psikiater Indonesia</w:t>
      </w:r>
      <w:r w:rsidRPr="00244497">
        <w:rPr>
          <w:rFonts w:ascii="Times New Roman" w:hAnsi="Times New Roman" w:cs="Times New Roman"/>
          <w:sz w:val="24"/>
          <w:szCs w:val="24"/>
        </w:rPr>
        <w:t xml:space="preserve">, </w:t>
      </w:r>
      <w:r w:rsidR="00605809" w:rsidRPr="00244497">
        <w:rPr>
          <w:rFonts w:ascii="Times New Roman" w:hAnsi="Times New Roman" w:cs="Times New Roman"/>
          <w:sz w:val="24"/>
          <w:szCs w:val="24"/>
        </w:rPr>
        <w:t>yakni</w:t>
      </w:r>
      <w:r w:rsidRPr="00244497">
        <w:rPr>
          <w:rFonts w:ascii="Times New Roman" w:hAnsi="Times New Roman" w:cs="Times New Roman"/>
          <w:sz w:val="24"/>
          <w:szCs w:val="24"/>
        </w:rPr>
        <w:t xml:space="preserve"> Persatuan Dokter Spesialis Kedokteran Jiwa Indonesia (PDSKJI). </w:t>
      </w:r>
      <w:r w:rsidR="00605809" w:rsidRPr="00244497">
        <w:rPr>
          <w:rFonts w:ascii="Times New Roman" w:hAnsi="Times New Roman" w:cs="Times New Roman"/>
          <w:sz w:val="24"/>
          <w:szCs w:val="24"/>
        </w:rPr>
        <w:t>Meski</w:t>
      </w:r>
      <w:r w:rsidR="00CD5BF7" w:rsidRPr="00244497">
        <w:rPr>
          <w:rFonts w:ascii="Times New Roman" w:hAnsi="Times New Roman" w:cs="Times New Roman"/>
          <w:sz w:val="24"/>
          <w:szCs w:val="24"/>
        </w:rPr>
        <w:t xml:space="preserve"> pendidikan yang dijalankan oleh FK disesuaikan dengan karakteristiknya masing-masing, namun penentuan kompetensi yang dicapai psikiater baru merupakan kesepakatan bersama yang di dalamnya terdapat kewenangan yang besar dari pihak PDSKJI. Sayang sejauh ini tampaknya belum ada satu divisi </w:t>
      </w:r>
      <w:r w:rsidR="00EC3ADA" w:rsidRPr="00244497">
        <w:rPr>
          <w:rFonts w:ascii="Times New Roman" w:hAnsi="Times New Roman" w:cs="Times New Roman"/>
          <w:sz w:val="24"/>
          <w:szCs w:val="24"/>
        </w:rPr>
        <w:t xml:space="preserve">yang secara </w:t>
      </w:r>
      <w:r w:rsidR="00CD5BF7" w:rsidRPr="00244497">
        <w:rPr>
          <w:rFonts w:ascii="Times New Roman" w:hAnsi="Times New Roman" w:cs="Times New Roman"/>
          <w:sz w:val="24"/>
          <w:szCs w:val="24"/>
        </w:rPr>
        <w:t xml:space="preserve">khusus </w:t>
      </w:r>
      <w:r w:rsidR="00AC2970" w:rsidRPr="00244497">
        <w:rPr>
          <w:rFonts w:ascii="Times New Roman" w:hAnsi="Times New Roman" w:cs="Times New Roman"/>
          <w:sz w:val="24"/>
          <w:szCs w:val="24"/>
        </w:rPr>
        <w:t>diberi tugas untuk</w:t>
      </w:r>
      <w:r w:rsidR="00EC3ADA" w:rsidRPr="00244497">
        <w:rPr>
          <w:rFonts w:ascii="Times New Roman" w:hAnsi="Times New Roman" w:cs="Times New Roman"/>
          <w:sz w:val="24"/>
          <w:szCs w:val="24"/>
        </w:rPr>
        <w:t xml:space="preserve"> memperhatikan masalah pendidikan </w:t>
      </w:r>
      <w:r w:rsidR="006853E7" w:rsidRPr="00244497">
        <w:rPr>
          <w:rFonts w:ascii="Times New Roman" w:hAnsi="Times New Roman" w:cs="Times New Roman"/>
          <w:sz w:val="24"/>
          <w:szCs w:val="24"/>
        </w:rPr>
        <w:t>dan keseragamannya</w:t>
      </w:r>
      <w:r w:rsidR="00EC3ADA" w:rsidRPr="00244497">
        <w:rPr>
          <w:rFonts w:ascii="Times New Roman" w:hAnsi="Times New Roman" w:cs="Times New Roman"/>
          <w:sz w:val="24"/>
          <w:szCs w:val="24"/>
        </w:rPr>
        <w:t>.</w:t>
      </w:r>
    </w:p>
    <w:p w:rsidR="00906288" w:rsidRPr="00244497" w:rsidRDefault="00137676"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Dengan memperhatikan pemaparan di atas, penulis akan memunculkan satu pikiran yang diharapkan mampu mencapai penyelesaian masalah</w:t>
      </w:r>
      <w:r w:rsidR="0007089B" w:rsidRPr="00244497">
        <w:rPr>
          <w:rFonts w:ascii="Times New Roman" w:hAnsi="Times New Roman" w:cs="Times New Roman"/>
          <w:sz w:val="24"/>
          <w:szCs w:val="24"/>
        </w:rPr>
        <w:t>.</w:t>
      </w:r>
      <w:r w:rsidR="00CE0069" w:rsidRPr="00244497">
        <w:rPr>
          <w:rFonts w:ascii="Times New Roman" w:hAnsi="Times New Roman" w:cs="Times New Roman"/>
          <w:sz w:val="24"/>
          <w:szCs w:val="24"/>
        </w:rPr>
        <w:t xml:space="preserve"> Pikiran akan aksi yang mungkin dipandang sebagai satu </w:t>
      </w:r>
      <w:r w:rsidR="005B6B00" w:rsidRPr="00244497">
        <w:rPr>
          <w:rFonts w:ascii="Times New Roman" w:hAnsi="Times New Roman" w:cs="Times New Roman"/>
          <w:sz w:val="24"/>
          <w:szCs w:val="24"/>
        </w:rPr>
        <w:t>langkah berani. Pikiran yang dimaksud adalah membentuk divisi pendidikan dalam PDSKJI, dengan sejumlah tugas untuk memperhatikan keberlangsungan pendidikan psikiatri, sehingga dapat menarik jumlah yang besar dan efisien, serta menumbuhkan kecintaan dalam psikiatri dan pendidikannya.</w:t>
      </w:r>
    </w:p>
    <w:p w:rsidR="00D237B7" w:rsidRPr="00244497" w:rsidRDefault="00D237B7" w:rsidP="00244497">
      <w:pPr>
        <w:spacing w:after="0" w:line="360" w:lineRule="auto"/>
        <w:ind w:firstLine="720"/>
        <w:jc w:val="both"/>
        <w:rPr>
          <w:rFonts w:ascii="Times New Roman" w:hAnsi="Times New Roman" w:cs="Times New Roman"/>
          <w:sz w:val="24"/>
          <w:szCs w:val="24"/>
        </w:rPr>
      </w:pPr>
    </w:p>
    <w:p w:rsidR="003E0980"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2. Filosofi Yang Dianut</w:t>
      </w:r>
    </w:p>
    <w:p w:rsidR="003E0980" w:rsidRPr="00244497" w:rsidRDefault="003E0980"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Dasar filosofis dari usulan program ini adalah bahwa dokter pada dasarnya adalah guru, karena secara linguistik asal kata dokter adalah </w:t>
      </w:r>
      <w:r w:rsidRPr="00244497">
        <w:rPr>
          <w:rFonts w:ascii="Times New Roman" w:hAnsi="Times New Roman" w:cs="Times New Roman"/>
          <w:i/>
          <w:sz w:val="24"/>
          <w:szCs w:val="24"/>
        </w:rPr>
        <w:t>docere</w:t>
      </w:r>
      <w:r w:rsidRPr="00244497">
        <w:rPr>
          <w:rFonts w:ascii="Times New Roman" w:hAnsi="Times New Roman" w:cs="Times New Roman"/>
          <w:sz w:val="24"/>
          <w:szCs w:val="24"/>
        </w:rPr>
        <w:t xml:space="preserve"> yang berarti mengajar. Selanjutnya sesuai dengan sumpah dokter, maka sesama dokter akan memperlakukan satu sama lain seperti saudara sendiri. Karena itu, mengajar saudara sendiri adalah hal yang mulia dan lebih utama daripada mengajari orang lain. Dan perlu diingat bahwa peserta PPDS adalah dokter juga. Filosofi lain yang dianut adalah pandangan bahwa peserta PPDS memiliki peran ganda. Dari segi pelayanan, peserta PPDS mungkin adalah penyedia namun dari segi pendidikan peserta PPDS adalah konsumen dan guru adalah penyedia pendidikannya. </w:t>
      </w:r>
      <w:r w:rsidR="000C7B2A">
        <w:rPr>
          <w:rFonts w:ascii="Times New Roman" w:hAnsi="Times New Roman" w:cs="Times New Roman"/>
          <w:sz w:val="24"/>
          <w:szCs w:val="24"/>
        </w:rPr>
        <w:t xml:space="preserve">Dalam kenyataannya, peserta PPDS di Indonesia berbeda dengan residen di negara lain, karena peserta PPDS membayar uang kuliah per semester ke Universitas agar mendapat pendidikan </w:t>
      </w:r>
      <w:r w:rsidR="000C7B2A">
        <w:rPr>
          <w:rFonts w:ascii="Times New Roman" w:hAnsi="Times New Roman" w:cs="Times New Roman"/>
          <w:sz w:val="24"/>
          <w:szCs w:val="24"/>
        </w:rPr>
        <w:lastRenderedPageBreak/>
        <w:t xml:space="preserve">tanpa mendapat bayaran dari Rumah Sakit selama memberi pelayanan, satu hal yang menegaskan model konsumen pendidikan layak disematkan kepada mereka. </w:t>
      </w:r>
      <w:r w:rsidRPr="00244497">
        <w:rPr>
          <w:rFonts w:ascii="Times New Roman" w:hAnsi="Times New Roman" w:cs="Times New Roman"/>
          <w:sz w:val="24"/>
          <w:szCs w:val="24"/>
        </w:rPr>
        <w:t>Dengan model konsumen ini, maka satu hal yang perlu diingat adalah kepuasan konsumen, yang apabila dapat dicapai dan dipertahankan dalam tingkat yang memuaskan, akan menumbuhkan kecintaan pada pendidikan psikiatri yang membantu tumbuhnya sikap belajar seumur hidup, satu filosofi lain dalam bidang pendidikan kedokteran secara luas.</w:t>
      </w:r>
    </w:p>
    <w:p w:rsidR="003E0980" w:rsidRPr="00244497" w:rsidRDefault="003E0980" w:rsidP="00244497">
      <w:pPr>
        <w:spacing w:after="0" w:line="360" w:lineRule="auto"/>
        <w:ind w:firstLine="720"/>
        <w:jc w:val="both"/>
        <w:rPr>
          <w:rFonts w:ascii="Times New Roman" w:hAnsi="Times New Roman" w:cs="Times New Roman"/>
          <w:sz w:val="24"/>
          <w:szCs w:val="24"/>
        </w:rPr>
      </w:pPr>
    </w:p>
    <w:p w:rsidR="00D237B7"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3</w:t>
      </w:r>
      <w:r w:rsidR="00D237B7" w:rsidRPr="00244497">
        <w:rPr>
          <w:rFonts w:ascii="Times New Roman" w:hAnsi="Times New Roman" w:cs="Times New Roman"/>
          <w:sz w:val="24"/>
          <w:szCs w:val="24"/>
        </w:rPr>
        <w:t>. Tujuan</w:t>
      </w:r>
    </w:p>
    <w:p w:rsidR="00D237B7"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3</w:t>
      </w:r>
      <w:r w:rsidR="00D237B7" w:rsidRPr="00244497">
        <w:rPr>
          <w:rFonts w:ascii="Times New Roman" w:hAnsi="Times New Roman" w:cs="Times New Roman"/>
          <w:sz w:val="24"/>
          <w:szCs w:val="24"/>
        </w:rPr>
        <w:t>.1 Tujuan Umum</w:t>
      </w:r>
    </w:p>
    <w:p w:rsidR="00D237B7" w:rsidRPr="00244497" w:rsidRDefault="00E34163"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Meningkatkan mutu pendidikan psikiatri Indonesia</w:t>
      </w:r>
    </w:p>
    <w:p w:rsidR="00E34163" w:rsidRPr="00244497" w:rsidRDefault="00E34163" w:rsidP="00244497">
      <w:pPr>
        <w:spacing w:after="0" w:line="360" w:lineRule="auto"/>
        <w:jc w:val="both"/>
        <w:rPr>
          <w:rFonts w:ascii="Times New Roman" w:hAnsi="Times New Roman" w:cs="Times New Roman"/>
          <w:sz w:val="24"/>
          <w:szCs w:val="24"/>
        </w:rPr>
      </w:pPr>
    </w:p>
    <w:p w:rsidR="00D237B7"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3</w:t>
      </w:r>
      <w:r w:rsidR="00D237B7" w:rsidRPr="00244497">
        <w:rPr>
          <w:rFonts w:ascii="Times New Roman" w:hAnsi="Times New Roman" w:cs="Times New Roman"/>
          <w:sz w:val="24"/>
          <w:szCs w:val="24"/>
        </w:rPr>
        <w:t>.2 Tujuan Khusus</w:t>
      </w:r>
    </w:p>
    <w:p w:rsidR="00E34163" w:rsidRPr="00244497" w:rsidRDefault="00E34163" w:rsidP="00244497">
      <w:pPr>
        <w:pStyle w:val="ListParagraph"/>
        <w:numPr>
          <w:ilvl w:val="0"/>
          <w:numId w:val="1"/>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Menyeragamkan kedalaman kompetensi lulusan PPDS psikiatri</w:t>
      </w:r>
      <w:r w:rsidR="00C75919">
        <w:rPr>
          <w:rFonts w:ascii="Times New Roman" w:hAnsi="Times New Roman" w:cs="Times New Roman"/>
          <w:sz w:val="24"/>
          <w:szCs w:val="24"/>
        </w:rPr>
        <w:t xml:space="preserve"> di Indonesia</w:t>
      </w:r>
    </w:p>
    <w:p w:rsidR="00E34163" w:rsidRDefault="00E34163" w:rsidP="00244497">
      <w:pPr>
        <w:pStyle w:val="ListParagraph"/>
        <w:numPr>
          <w:ilvl w:val="0"/>
          <w:numId w:val="1"/>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 xml:space="preserve">Menjamin terlaksananya </w:t>
      </w:r>
      <w:r w:rsidR="00C75919">
        <w:rPr>
          <w:rFonts w:ascii="Times New Roman" w:hAnsi="Times New Roman" w:cs="Times New Roman"/>
          <w:sz w:val="24"/>
          <w:szCs w:val="24"/>
        </w:rPr>
        <w:t>hak</w:t>
      </w:r>
      <w:r w:rsidRPr="00244497">
        <w:rPr>
          <w:rFonts w:ascii="Times New Roman" w:hAnsi="Times New Roman" w:cs="Times New Roman"/>
          <w:sz w:val="24"/>
          <w:szCs w:val="24"/>
        </w:rPr>
        <w:t xml:space="preserve"> peserta PPDS</w:t>
      </w:r>
    </w:p>
    <w:p w:rsidR="00C75919" w:rsidRPr="00244497" w:rsidRDefault="00C75919" w:rsidP="0024449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Menyediakan guru yang memberikan komitmen tinggi di bidang pendidikan</w:t>
      </w:r>
    </w:p>
    <w:p w:rsidR="00C75919" w:rsidRPr="00C75919" w:rsidRDefault="00E34163" w:rsidP="00C75919">
      <w:pPr>
        <w:pStyle w:val="ListParagraph"/>
        <w:numPr>
          <w:ilvl w:val="0"/>
          <w:numId w:val="1"/>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 xml:space="preserve">Menumbuhkan </w:t>
      </w:r>
      <w:r w:rsidR="006522A5" w:rsidRPr="00244497">
        <w:rPr>
          <w:rFonts w:ascii="Times New Roman" w:hAnsi="Times New Roman" w:cs="Times New Roman"/>
          <w:sz w:val="24"/>
          <w:szCs w:val="24"/>
        </w:rPr>
        <w:t>kecintaan akan belajar psikiatri</w:t>
      </w:r>
    </w:p>
    <w:p w:rsidR="00D237B7" w:rsidRPr="00244497" w:rsidRDefault="00D237B7" w:rsidP="00244497">
      <w:pPr>
        <w:spacing w:after="0" w:line="360" w:lineRule="auto"/>
        <w:jc w:val="both"/>
        <w:rPr>
          <w:rFonts w:ascii="Times New Roman" w:hAnsi="Times New Roman" w:cs="Times New Roman"/>
          <w:sz w:val="24"/>
          <w:szCs w:val="24"/>
        </w:rPr>
      </w:pPr>
    </w:p>
    <w:p w:rsidR="00D237B7"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4</w:t>
      </w:r>
      <w:r w:rsidR="00D237B7" w:rsidRPr="00244497">
        <w:rPr>
          <w:rFonts w:ascii="Times New Roman" w:hAnsi="Times New Roman" w:cs="Times New Roman"/>
          <w:sz w:val="24"/>
          <w:szCs w:val="24"/>
        </w:rPr>
        <w:t>. Target</w:t>
      </w:r>
    </w:p>
    <w:p w:rsidR="00D237B7" w:rsidRPr="00244497" w:rsidRDefault="002A16FF"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Target dari program ini adalah PDSKJI yang pada akhirnya akan melibatkan pula semua PPDS Psikiatri di FK di Indonesia.</w:t>
      </w:r>
    </w:p>
    <w:p w:rsidR="00D237B7" w:rsidRPr="00244497" w:rsidRDefault="00D237B7" w:rsidP="00244497">
      <w:pPr>
        <w:spacing w:after="0" w:line="360" w:lineRule="auto"/>
        <w:jc w:val="both"/>
        <w:rPr>
          <w:rFonts w:ascii="Times New Roman" w:hAnsi="Times New Roman" w:cs="Times New Roman"/>
          <w:sz w:val="24"/>
          <w:szCs w:val="24"/>
        </w:rPr>
      </w:pPr>
    </w:p>
    <w:p w:rsidR="00D237B7"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5</w:t>
      </w:r>
      <w:r w:rsidR="00D237B7" w:rsidRPr="00244497">
        <w:rPr>
          <w:rFonts w:ascii="Times New Roman" w:hAnsi="Times New Roman" w:cs="Times New Roman"/>
          <w:sz w:val="24"/>
          <w:szCs w:val="24"/>
        </w:rPr>
        <w:t>. Pemangku Kepentingan</w:t>
      </w:r>
    </w:p>
    <w:p w:rsidR="00D237B7" w:rsidRPr="00244497" w:rsidRDefault="00B81DA9" w:rsidP="00244497">
      <w:pPr>
        <w:pStyle w:val="ListParagraph"/>
        <w:numPr>
          <w:ilvl w:val="0"/>
          <w:numId w:val="2"/>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Perhimpunan</w:t>
      </w:r>
      <w:r w:rsidR="001261F5" w:rsidRPr="00244497">
        <w:rPr>
          <w:rFonts w:ascii="Times New Roman" w:hAnsi="Times New Roman" w:cs="Times New Roman"/>
          <w:sz w:val="24"/>
          <w:szCs w:val="24"/>
        </w:rPr>
        <w:t xml:space="preserve"> Dokter </w:t>
      </w:r>
      <w:r w:rsidRPr="00244497">
        <w:rPr>
          <w:rFonts w:ascii="Times New Roman" w:hAnsi="Times New Roman" w:cs="Times New Roman"/>
          <w:sz w:val="24"/>
          <w:szCs w:val="24"/>
        </w:rPr>
        <w:t>Spesialis Kedokteran Jiwa Indonesia</w:t>
      </w:r>
    </w:p>
    <w:p w:rsidR="001261F5" w:rsidRPr="00244497" w:rsidRDefault="001261F5" w:rsidP="00244497">
      <w:pPr>
        <w:pStyle w:val="ListParagraph"/>
        <w:numPr>
          <w:ilvl w:val="0"/>
          <w:numId w:val="2"/>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Fakultas Kedokteran di Indonesia</w:t>
      </w:r>
    </w:p>
    <w:p w:rsidR="00B81DA9" w:rsidRPr="00244497" w:rsidRDefault="00B81DA9" w:rsidP="00244497">
      <w:pPr>
        <w:pStyle w:val="ListParagraph"/>
        <w:numPr>
          <w:ilvl w:val="0"/>
          <w:numId w:val="2"/>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Ketua Program Studi PPDS Psikiatri</w:t>
      </w:r>
    </w:p>
    <w:p w:rsidR="003F6D8E" w:rsidRPr="00244497" w:rsidRDefault="003F6D8E" w:rsidP="00244497">
      <w:pPr>
        <w:pStyle w:val="ListParagraph"/>
        <w:numPr>
          <w:ilvl w:val="0"/>
          <w:numId w:val="2"/>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Kementerian Kesehatan</w:t>
      </w:r>
    </w:p>
    <w:p w:rsidR="003F6D8E" w:rsidRPr="00244497" w:rsidRDefault="003F6D8E" w:rsidP="00244497">
      <w:pPr>
        <w:pStyle w:val="ListParagraph"/>
        <w:numPr>
          <w:ilvl w:val="0"/>
          <w:numId w:val="2"/>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Kementerian Riset, Teknologi, dan Pendidikan Tinggi</w:t>
      </w:r>
    </w:p>
    <w:p w:rsidR="003F6D8E" w:rsidRDefault="003F6D8E" w:rsidP="00244497">
      <w:pPr>
        <w:pStyle w:val="ListParagraph"/>
        <w:numPr>
          <w:ilvl w:val="0"/>
          <w:numId w:val="2"/>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Kementerian Pemberdayaan Aparatur Negara</w:t>
      </w:r>
    </w:p>
    <w:p w:rsidR="008074CB" w:rsidRPr="00244497" w:rsidRDefault="008074CB" w:rsidP="00244497">
      <w:pPr>
        <w:pStyle w:val="ListParagraph"/>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Rumah Sakit Penyelenggara Pendidikan Psikiatri</w:t>
      </w:r>
    </w:p>
    <w:p w:rsidR="00D237B7" w:rsidRDefault="00D237B7" w:rsidP="00244497">
      <w:pPr>
        <w:spacing w:after="0" w:line="360" w:lineRule="auto"/>
        <w:jc w:val="both"/>
        <w:rPr>
          <w:rFonts w:ascii="Times New Roman" w:hAnsi="Times New Roman" w:cs="Times New Roman"/>
          <w:sz w:val="24"/>
          <w:szCs w:val="24"/>
        </w:rPr>
      </w:pPr>
    </w:p>
    <w:p w:rsidR="00E36975" w:rsidRDefault="00E36975" w:rsidP="00244497">
      <w:pPr>
        <w:spacing w:after="0" w:line="360" w:lineRule="auto"/>
        <w:jc w:val="both"/>
        <w:rPr>
          <w:rFonts w:ascii="Times New Roman" w:hAnsi="Times New Roman" w:cs="Times New Roman"/>
          <w:sz w:val="24"/>
          <w:szCs w:val="24"/>
        </w:rPr>
      </w:pPr>
    </w:p>
    <w:p w:rsidR="00E36975" w:rsidRDefault="00E36975" w:rsidP="00244497">
      <w:pPr>
        <w:spacing w:after="0" w:line="360" w:lineRule="auto"/>
        <w:jc w:val="both"/>
        <w:rPr>
          <w:rFonts w:ascii="Times New Roman" w:hAnsi="Times New Roman" w:cs="Times New Roman"/>
          <w:sz w:val="24"/>
          <w:szCs w:val="24"/>
        </w:rPr>
      </w:pPr>
    </w:p>
    <w:p w:rsidR="00E36975" w:rsidRPr="00244497" w:rsidRDefault="00E36975" w:rsidP="00244497">
      <w:pPr>
        <w:spacing w:after="0" w:line="360" w:lineRule="auto"/>
        <w:jc w:val="both"/>
        <w:rPr>
          <w:rFonts w:ascii="Times New Roman" w:hAnsi="Times New Roman" w:cs="Times New Roman"/>
          <w:sz w:val="24"/>
          <w:szCs w:val="24"/>
        </w:rPr>
      </w:pPr>
    </w:p>
    <w:p w:rsidR="00D237B7"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lastRenderedPageBreak/>
        <w:t>6</w:t>
      </w:r>
      <w:r w:rsidR="00D237B7" w:rsidRPr="00244497">
        <w:rPr>
          <w:rFonts w:ascii="Times New Roman" w:hAnsi="Times New Roman" w:cs="Times New Roman"/>
          <w:sz w:val="24"/>
          <w:szCs w:val="24"/>
        </w:rPr>
        <w:t>. Aktivitas</w:t>
      </w:r>
    </w:p>
    <w:p w:rsidR="00E10A19" w:rsidRPr="00244497" w:rsidRDefault="00EB252F"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Aktivitas dalam program ini melibatkan penataan ulang yang meluas dalam rangka mencapai tujuan</w:t>
      </w:r>
      <w:r w:rsidR="00E10A19" w:rsidRPr="00244497">
        <w:rPr>
          <w:rFonts w:ascii="Times New Roman" w:hAnsi="Times New Roman" w:cs="Times New Roman"/>
          <w:sz w:val="24"/>
          <w:szCs w:val="24"/>
        </w:rPr>
        <w:t xml:space="preserve"> yang telah disebutkan di atas. Oleh karena tujuan yang digariskan adalah sesuatu yang luas, maka langkah-langkah menuju tercapainya dibagi menjadi beberapa tahap</w:t>
      </w:r>
      <w:r w:rsidR="008D13A8" w:rsidRPr="00244497">
        <w:rPr>
          <w:rFonts w:ascii="Times New Roman" w:hAnsi="Times New Roman" w:cs="Times New Roman"/>
          <w:sz w:val="24"/>
          <w:szCs w:val="24"/>
        </w:rPr>
        <w:t>.</w:t>
      </w:r>
    </w:p>
    <w:p w:rsidR="00E10A19" w:rsidRPr="00244497" w:rsidRDefault="00974067"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Tahap I: Perencanaan</w:t>
      </w:r>
      <w:r w:rsidR="004B3930" w:rsidRPr="00244497">
        <w:rPr>
          <w:rFonts w:ascii="Times New Roman" w:hAnsi="Times New Roman" w:cs="Times New Roman"/>
          <w:sz w:val="24"/>
          <w:szCs w:val="24"/>
        </w:rPr>
        <w:t xml:space="preserve"> Kurikulum</w:t>
      </w:r>
    </w:p>
    <w:p w:rsidR="00974067" w:rsidRPr="00244497" w:rsidRDefault="002336B8"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Tahap ini </w:t>
      </w:r>
      <w:r w:rsidR="008D13A8" w:rsidRPr="00244497">
        <w:rPr>
          <w:rFonts w:ascii="Times New Roman" w:hAnsi="Times New Roman" w:cs="Times New Roman"/>
          <w:sz w:val="24"/>
          <w:szCs w:val="24"/>
        </w:rPr>
        <w:t>dimulai dengan suatu</w:t>
      </w:r>
      <w:r w:rsidRPr="00244497">
        <w:rPr>
          <w:rFonts w:ascii="Times New Roman" w:hAnsi="Times New Roman" w:cs="Times New Roman"/>
          <w:sz w:val="24"/>
          <w:szCs w:val="24"/>
        </w:rPr>
        <w:t xml:space="preserve"> penataan ulang kurikulum pendidikan psikiatri</w:t>
      </w:r>
      <w:r w:rsidR="008D13A8" w:rsidRPr="00244497">
        <w:rPr>
          <w:rFonts w:ascii="Times New Roman" w:hAnsi="Times New Roman" w:cs="Times New Roman"/>
          <w:sz w:val="24"/>
          <w:szCs w:val="24"/>
        </w:rPr>
        <w:t>. Penataan kurikulum akan melibatkan setiap divisi lain dalam PDSKJI untuk menyampaikan pendapatnya mengenai apa yang ingin dicapai sesuai divisi yang dimaksud.</w:t>
      </w:r>
      <w:r w:rsidR="004B3930" w:rsidRPr="00244497">
        <w:rPr>
          <w:rFonts w:ascii="Times New Roman" w:hAnsi="Times New Roman" w:cs="Times New Roman"/>
          <w:sz w:val="24"/>
          <w:szCs w:val="24"/>
        </w:rPr>
        <w:t xml:space="preserve"> Dengan perkiraan jumlah pendapat yang diutarakan diperkirakan relatif banyak, maka </w:t>
      </w:r>
      <w:r w:rsidR="002C3814" w:rsidRPr="00244497">
        <w:rPr>
          <w:rFonts w:ascii="Times New Roman" w:hAnsi="Times New Roman" w:cs="Times New Roman"/>
          <w:sz w:val="24"/>
          <w:szCs w:val="24"/>
        </w:rPr>
        <w:t xml:space="preserve">akan disusun suatu daftar prioritas kompetensi. </w:t>
      </w:r>
      <w:r w:rsidR="0082494F" w:rsidRPr="00244497">
        <w:rPr>
          <w:rFonts w:ascii="Times New Roman" w:hAnsi="Times New Roman" w:cs="Times New Roman"/>
          <w:sz w:val="24"/>
          <w:szCs w:val="24"/>
        </w:rPr>
        <w:t xml:space="preserve">Dalam memfasilitasi semua pendapat ini, penulis </w:t>
      </w:r>
      <w:r w:rsidR="002D0F1C" w:rsidRPr="00244497">
        <w:rPr>
          <w:rFonts w:ascii="Times New Roman" w:hAnsi="Times New Roman" w:cs="Times New Roman"/>
          <w:sz w:val="24"/>
          <w:szCs w:val="24"/>
        </w:rPr>
        <w:t>mengusulkan</w:t>
      </w:r>
      <w:r w:rsidR="00D91299" w:rsidRPr="00244497">
        <w:rPr>
          <w:rFonts w:ascii="Times New Roman" w:hAnsi="Times New Roman" w:cs="Times New Roman"/>
          <w:sz w:val="24"/>
          <w:szCs w:val="24"/>
        </w:rPr>
        <w:t xml:space="preserve"> untuk membuat suatu “Kurikulum Utama Nasional”</w:t>
      </w:r>
      <w:r w:rsidR="00F16BA0" w:rsidRPr="00244497">
        <w:rPr>
          <w:rFonts w:ascii="Times New Roman" w:hAnsi="Times New Roman" w:cs="Times New Roman"/>
          <w:sz w:val="24"/>
          <w:szCs w:val="24"/>
        </w:rPr>
        <w:t xml:space="preserve"> (KUN)</w:t>
      </w:r>
      <w:r w:rsidR="00D91299" w:rsidRPr="00244497">
        <w:rPr>
          <w:rFonts w:ascii="Times New Roman" w:hAnsi="Times New Roman" w:cs="Times New Roman"/>
          <w:sz w:val="24"/>
          <w:szCs w:val="24"/>
        </w:rPr>
        <w:t>, dan suatu “Kurikulum Unggulan Institusional”</w:t>
      </w:r>
      <w:r w:rsidR="00F16BA0" w:rsidRPr="00244497">
        <w:rPr>
          <w:rFonts w:ascii="Times New Roman" w:hAnsi="Times New Roman" w:cs="Times New Roman"/>
          <w:sz w:val="24"/>
          <w:szCs w:val="24"/>
        </w:rPr>
        <w:t xml:space="preserve"> (KUI)</w:t>
      </w:r>
      <w:r w:rsidR="00D91299" w:rsidRPr="00244497">
        <w:rPr>
          <w:rFonts w:ascii="Times New Roman" w:hAnsi="Times New Roman" w:cs="Times New Roman"/>
          <w:sz w:val="24"/>
          <w:szCs w:val="24"/>
        </w:rPr>
        <w:t>. Hal ini didasarkan pada kenyataan yang t</w:t>
      </w:r>
      <w:r w:rsidR="00974067" w:rsidRPr="00244497">
        <w:rPr>
          <w:rFonts w:ascii="Times New Roman" w:hAnsi="Times New Roman" w:cs="Times New Roman"/>
          <w:sz w:val="24"/>
          <w:szCs w:val="24"/>
        </w:rPr>
        <w:t>idak dapat dipungkiri bahwa masing-masing pusat pendidikan memiliki keunggulannya</w:t>
      </w:r>
      <w:r w:rsidR="00D91299" w:rsidRPr="00244497">
        <w:rPr>
          <w:rFonts w:ascii="Times New Roman" w:hAnsi="Times New Roman" w:cs="Times New Roman"/>
          <w:sz w:val="24"/>
          <w:szCs w:val="24"/>
        </w:rPr>
        <w:t xml:space="preserve"> sendiri</w:t>
      </w:r>
      <w:r w:rsidR="00974067" w:rsidRPr="00244497">
        <w:rPr>
          <w:rFonts w:ascii="Times New Roman" w:hAnsi="Times New Roman" w:cs="Times New Roman"/>
          <w:sz w:val="24"/>
          <w:szCs w:val="24"/>
        </w:rPr>
        <w:t xml:space="preserve">. </w:t>
      </w:r>
      <w:r w:rsidR="00D91299" w:rsidRPr="00244497">
        <w:rPr>
          <w:rFonts w:ascii="Times New Roman" w:hAnsi="Times New Roman" w:cs="Times New Roman"/>
          <w:sz w:val="24"/>
          <w:szCs w:val="24"/>
        </w:rPr>
        <w:t xml:space="preserve"> Nantinya, </w:t>
      </w:r>
      <w:r w:rsidR="00F16BA0" w:rsidRPr="00244497">
        <w:rPr>
          <w:rFonts w:ascii="Times New Roman" w:hAnsi="Times New Roman" w:cs="Times New Roman"/>
          <w:sz w:val="24"/>
          <w:szCs w:val="24"/>
        </w:rPr>
        <w:t>KUN</w:t>
      </w:r>
      <w:r w:rsidR="00D91299" w:rsidRPr="00244497">
        <w:rPr>
          <w:rFonts w:ascii="Times New Roman" w:hAnsi="Times New Roman" w:cs="Times New Roman"/>
          <w:sz w:val="24"/>
          <w:szCs w:val="24"/>
        </w:rPr>
        <w:t xml:space="preserve"> akan berisikan kurikulum yang wajib dijalankan di setiap pusat pendidikan psikiatri sehingga menjamin keseragaman kompetensi lulusan, dan </w:t>
      </w:r>
      <w:r w:rsidR="00F16BA0" w:rsidRPr="00244497">
        <w:rPr>
          <w:rFonts w:ascii="Times New Roman" w:hAnsi="Times New Roman" w:cs="Times New Roman"/>
          <w:sz w:val="24"/>
          <w:szCs w:val="24"/>
        </w:rPr>
        <w:t>KUI</w:t>
      </w:r>
      <w:r w:rsidR="00D91299" w:rsidRPr="00244497">
        <w:rPr>
          <w:rFonts w:ascii="Times New Roman" w:hAnsi="Times New Roman" w:cs="Times New Roman"/>
          <w:sz w:val="24"/>
          <w:szCs w:val="24"/>
        </w:rPr>
        <w:t xml:space="preserve"> akan berisikan kurikulum yang wajib dijalankan pada satu atau beberapa pusat saja, untuk memberi warna kedalaman kompetensi.</w:t>
      </w:r>
      <w:r w:rsidR="00F16BA0" w:rsidRPr="00244497">
        <w:rPr>
          <w:rFonts w:ascii="Times New Roman" w:hAnsi="Times New Roman" w:cs="Times New Roman"/>
          <w:sz w:val="24"/>
          <w:szCs w:val="24"/>
        </w:rPr>
        <w:t xml:space="preserve"> Dengan adanya </w:t>
      </w:r>
      <w:r w:rsidR="00934AA2" w:rsidRPr="00244497">
        <w:rPr>
          <w:rFonts w:ascii="Times New Roman" w:hAnsi="Times New Roman" w:cs="Times New Roman"/>
          <w:sz w:val="24"/>
          <w:szCs w:val="24"/>
        </w:rPr>
        <w:t>KUI, maka akan ditunjuk, atau dimintakan kesediaa</w:t>
      </w:r>
      <w:r w:rsidR="001548BB">
        <w:rPr>
          <w:rFonts w:ascii="Times New Roman" w:hAnsi="Times New Roman" w:cs="Times New Roman"/>
          <w:sz w:val="24"/>
          <w:szCs w:val="24"/>
        </w:rPr>
        <w:t xml:space="preserve">n, pula kepada pusat pendidikan, dalam hal ini institusi yang dimaksud, </w:t>
      </w:r>
      <w:r w:rsidR="00934AA2" w:rsidRPr="00244497">
        <w:rPr>
          <w:rFonts w:ascii="Times New Roman" w:hAnsi="Times New Roman" w:cs="Times New Roman"/>
          <w:sz w:val="24"/>
          <w:szCs w:val="24"/>
        </w:rPr>
        <w:t xml:space="preserve">untuk menjadi </w:t>
      </w:r>
      <w:r w:rsidR="00D32253" w:rsidRPr="00244497">
        <w:rPr>
          <w:rFonts w:ascii="Times New Roman" w:hAnsi="Times New Roman" w:cs="Times New Roman"/>
          <w:sz w:val="24"/>
          <w:szCs w:val="24"/>
        </w:rPr>
        <w:t>“P</w:t>
      </w:r>
      <w:r w:rsidR="00934AA2" w:rsidRPr="00244497">
        <w:rPr>
          <w:rFonts w:ascii="Times New Roman" w:hAnsi="Times New Roman" w:cs="Times New Roman"/>
          <w:sz w:val="24"/>
          <w:szCs w:val="24"/>
        </w:rPr>
        <w:t xml:space="preserve">usat </w:t>
      </w:r>
      <w:r w:rsidR="00D32253" w:rsidRPr="00244497">
        <w:rPr>
          <w:rFonts w:ascii="Times New Roman" w:hAnsi="Times New Roman" w:cs="Times New Roman"/>
          <w:sz w:val="24"/>
          <w:szCs w:val="24"/>
        </w:rPr>
        <w:t>U</w:t>
      </w:r>
      <w:r w:rsidR="00934AA2" w:rsidRPr="00244497">
        <w:rPr>
          <w:rFonts w:ascii="Times New Roman" w:hAnsi="Times New Roman" w:cs="Times New Roman"/>
          <w:sz w:val="24"/>
          <w:szCs w:val="24"/>
        </w:rPr>
        <w:t xml:space="preserve">nggulan </w:t>
      </w:r>
      <w:r w:rsidR="00D32253" w:rsidRPr="00244497">
        <w:rPr>
          <w:rFonts w:ascii="Times New Roman" w:hAnsi="Times New Roman" w:cs="Times New Roman"/>
          <w:sz w:val="24"/>
          <w:szCs w:val="24"/>
        </w:rPr>
        <w:t xml:space="preserve">Kompetensi” (PUK) </w:t>
      </w:r>
      <w:r w:rsidR="00934AA2" w:rsidRPr="00244497">
        <w:rPr>
          <w:rFonts w:ascii="Times New Roman" w:hAnsi="Times New Roman" w:cs="Times New Roman"/>
          <w:sz w:val="24"/>
          <w:szCs w:val="24"/>
        </w:rPr>
        <w:t xml:space="preserve">pada bidang kompetensi yang dimaksud. </w:t>
      </w:r>
      <w:r w:rsidR="00D32253" w:rsidRPr="00244497">
        <w:rPr>
          <w:rFonts w:ascii="Times New Roman" w:hAnsi="Times New Roman" w:cs="Times New Roman"/>
          <w:sz w:val="24"/>
          <w:szCs w:val="24"/>
        </w:rPr>
        <w:t>Keberadaan PUK diproyeksikan akan membantu pelaksanaan pada tahap selanjutnya.</w:t>
      </w:r>
    </w:p>
    <w:p w:rsidR="00D237B7" w:rsidRPr="00244497" w:rsidRDefault="00D237B7" w:rsidP="00244497">
      <w:pPr>
        <w:spacing w:after="0" w:line="360" w:lineRule="auto"/>
        <w:ind w:firstLine="720"/>
        <w:jc w:val="both"/>
        <w:rPr>
          <w:rFonts w:ascii="Times New Roman" w:hAnsi="Times New Roman" w:cs="Times New Roman"/>
          <w:sz w:val="24"/>
          <w:szCs w:val="24"/>
        </w:rPr>
      </w:pPr>
    </w:p>
    <w:p w:rsidR="00E10A19" w:rsidRPr="00244497" w:rsidRDefault="004B3930"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Tahap II: Perhitungan Beban Ajar</w:t>
      </w:r>
      <w:r w:rsidR="00A85EB2" w:rsidRPr="00244497">
        <w:rPr>
          <w:rFonts w:ascii="Times New Roman" w:hAnsi="Times New Roman" w:cs="Times New Roman"/>
          <w:sz w:val="24"/>
          <w:szCs w:val="24"/>
        </w:rPr>
        <w:t xml:space="preserve"> dan Perbandingan Ketersediaan Guru</w:t>
      </w:r>
    </w:p>
    <w:p w:rsidR="004B3930" w:rsidRPr="00244497" w:rsidRDefault="002D0F1C"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Setelah KUN, KUI, dan PUK disepakati, langkah selanjutnya adalah menghitung beban ajar pada masing-masing institusi. </w:t>
      </w:r>
      <w:r w:rsidR="000A5269" w:rsidRPr="00244497">
        <w:rPr>
          <w:rFonts w:ascii="Times New Roman" w:hAnsi="Times New Roman" w:cs="Times New Roman"/>
          <w:sz w:val="24"/>
          <w:szCs w:val="24"/>
        </w:rPr>
        <w:t xml:space="preserve">Hal ini penting untuk dibahas bersama, agar dapat disepakati baku beban ajar yang dapat ditanggung oleh setiap institusi. Dari kurikulum yang telah disepakati sebelumnya, akan ditentukan pula bagaimana persebarannya dalam pendidikan yang akan dijalani oleh peserta PPDS, dengan mempertimbangkan pembagian </w:t>
      </w:r>
      <w:r w:rsidR="000B18B9" w:rsidRPr="00244497">
        <w:rPr>
          <w:rFonts w:ascii="Times New Roman" w:hAnsi="Times New Roman" w:cs="Times New Roman"/>
          <w:sz w:val="24"/>
          <w:szCs w:val="24"/>
        </w:rPr>
        <w:t xml:space="preserve">kurikulum dan kompetensi </w:t>
      </w:r>
      <w:r w:rsidR="000A5269" w:rsidRPr="00244497">
        <w:rPr>
          <w:rFonts w:ascii="Times New Roman" w:hAnsi="Times New Roman" w:cs="Times New Roman"/>
          <w:sz w:val="24"/>
          <w:szCs w:val="24"/>
        </w:rPr>
        <w:t>dalam tahapan pendidikan.</w:t>
      </w:r>
      <w:r w:rsidR="00E00810" w:rsidRPr="00244497">
        <w:rPr>
          <w:rFonts w:ascii="Times New Roman" w:hAnsi="Times New Roman" w:cs="Times New Roman"/>
          <w:sz w:val="24"/>
          <w:szCs w:val="24"/>
        </w:rPr>
        <w:t xml:space="preserve"> Setelah terlihat dan tersepakati mengenai kesamaan beban ajar, pertimbangan selanjutnya adalah mengenai keadaan di lapangan, dalam hal ini rumah sakit pendidikan. Di satu sisi, rumah sakit dengan tuntutan non-akademik yang tinggi akan menurunkan capaian beban ajar per guru, apalagi pada divisi dengan jumlah guru rendah. Di sisi lain, capaian kompetensi merupakan hal yang mutlak harus dicapai oleh setiap peserta PPDS.</w:t>
      </w:r>
      <w:r w:rsidR="003B2309" w:rsidRPr="00244497">
        <w:rPr>
          <w:rFonts w:ascii="Times New Roman" w:hAnsi="Times New Roman" w:cs="Times New Roman"/>
          <w:sz w:val="24"/>
          <w:szCs w:val="24"/>
        </w:rPr>
        <w:t xml:space="preserve"> Oleh karena itu, </w:t>
      </w:r>
      <w:r w:rsidR="00634BE3" w:rsidRPr="00244497">
        <w:rPr>
          <w:rFonts w:ascii="Times New Roman" w:hAnsi="Times New Roman" w:cs="Times New Roman"/>
          <w:sz w:val="24"/>
          <w:szCs w:val="24"/>
        </w:rPr>
        <w:t xml:space="preserve">mungkin </w:t>
      </w:r>
      <w:r w:rsidR="00F537E2" w:rsidRPr="00244497">
        <w:rPr>
          <w:rFonts w:ascii="Times New Roman" w:hAnsi="Times New Roman" w:cs="Times New Roman"/>
          <w:sz w:val="24"/>
          <w:szCs w:val="24"/>
        </w:rPr>
        <w:t xml:space="preserve">akan dibutuhkan suatu kesepakatan juga mengenai </w:t>
      </w:r>
      <w:r w:rsidR="009A0D5A" w:rsidRPr="00244497">
        <w:rPr>
          <w:rFonts w:ascii="Times New Roman" w:hAnsi="Times New Roman" w:cs="Times New Roman"/>
          <w:sz w:val="24"/>
          <w:szCs w:val="24"/>
        </w:rPr>
        <w:t xml:space="preserve">kriteria </w:t>
      </w:r>
      <w:r w:rsidR="00F537E2" w:rsidRPr="00244497">
        <w:rPr>
          <w:rFonts w:ascii="Times New Roman" w:hAnsi="Times New Roman" w:cs="Times New Roman"/>
          <w:sz w:val="24"/>
          <w:szCs w:val="24"/>
        </w:rPr>
        <w:t xml:space="preserve">rumah sakit pendidikan yang kondusif untuk pelaksanaan </w:t>
      </w:r>
      <w:r w:rsidR="00F537E2" w:rsidRPr="00244497">
        <w:rPr>
          <w:rFonts w:ascii="Times New Roman" w:hAnsi="Times New Roman" w:cs="Times New Roman"/>
          <w:sz w:val="24"/>
          <w:szCs w:val="24"/>
        </w:rPr>
        <w:lastRenderedPageBreak/>
        <w:t>pendidikan dengan inter</w:t>
      </w:r>
      <w:r w:rsidR="000245E7" w:rsidRPr="00244497">
        <w:rPr>
          <w:rFonts w:ascii="Times New Roman" w:hAnsi="Times New Roman" w:cs="Times New Roman"/>
          <w:sz w:val="24"/>
          <w:szCs w:val="24"/>
        </w:rPr>
        <w:t>vensi non-akademik yang minimal dengan membandingkan mengenai ketersediaan guru per divisi.</w:t>
      </w:r>
    </w:p>
    <w:p w:rsidR="00967BF0" w:rsidRPr="00244497" w:rsidRDefault="00967BF0" w:rsidP="00244497">
      <w:pPr>
        <w:spacing w:after="0" w:line="360" w:lineRule="auto"/>
        <w:ind w:firstLine="720"/>
        <w:jc w:val="both"/>
        <w:rPr>
          <w:rFonts w:ascii="Times New Roman" w:hAnsi="Times New Roman" w:cs="Times New Roman"/>
          <w:sz w:val="24"/>
          <w:szCs w:val="24"/>
        </w:rPr>
      </w:pPr>
    </w:p>
    <w:p w:rsidR="004B3930" w:rsidRPr="00244497" w:rsidRDefault="004B3930"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Tahap </w:t>
      </w:r>
      <w:r w:rsidR="00A85EB2" w:rsidRPr="00244497">
        <w:rPr>
          <w:rFonts w:ascii="Times New Roman" w:hAnsi="Times New Roman" w:cs="Times New Roman"/>
          <w:sz w:val="24"/>
          <w:szCs w:val="24"/>
        </w:rPr>
        <w:t>II</w:t>
      </w:r>
      <w:r w:rsidRPr="00244497">
        <w:rPr>
          <w:rFonts w:ascii="Times New Roman" w:hAnsi="Times New Roman" w:cs="Times New Roman"/>
          <w:sz w:val="24"/>
          <w:szCs w:val="24"/>
        </w:rPr>
        <w:t>I: Pemerataan dan Penyebaran Silang Guru</w:t>
      </w:r>
    </w:p>
    <w:p w:rsidR="004B3930" w:rsidRPr="00244497" w:rsidRDefault="00DE026B"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Telah disampaikan sebelumnya mengenai kemungkinan capaian beban ajar per guru yang rendah bila tugas sang guru melebar ke fokus non-akademik. Untuk hal ini, penulis mengusulkan tahap pemerataan dan penyebaran silang guru ini. Pilihan pertama mengenai pemerataan adalah dengan menjaring psikiater baru lulus atau melibatkan psikiater yang terdahulu </w:t>
      </w:r>
      <w:r w:rsidR="00B22D49">
        <w:rPr>
          <w:rFonts w:ascii="Times New Roman" w:hAnsi="Times New Roman" w:cs="Times New Roman"/>
          <w:sz w:val="24"/>
          <w:szCs w:val="24"/>
        </w:rPr>
        <w:t xml:space="preserve">lulus </w:t>
      </w:r>
      <w:r w:rsidRPr="00244497">
        <w:rPr>
          <w:rFonts w:ascii="Times New Roman" w:hAnsi="Times New Roman" w:cs="Times New Roman"/>
          <w:sz w:val="24"/>
          <w:szCs w:val="24"/>
        </w:rPr>
        <w:t xml:space="preserve">namun belum aktif dalam pendidikan, dan kemudian mendistribusikan sesuai kebutuhan per institusi dan fokus kompetensi unggulannya. Dengan dukungan data dan koordinasi yang dipusatkan, </w:t>
      </w:r>
      <w:r w:rsidR="004A3DA3">
        <w:rPr>
          <w:rFonts w:ascii="Times New Roman" w:hAnsi="Times New Roman" w:cs="Times New Roman"/>
          <w:sz w:val="24"/>
          <w:szCs w:val="24"/>
        </w:rPr>
        <w:t xml:space="preserve">akan </w:t>
      </w:r>
      <w:r w:rsidRPr="00244497">
        <w:rPr>
          <w:rFonts w:ascii="Times New Roman" w:hAnsi="Times New Roman" w:cs="Times New Roman"/>
          <w:sz w:val="24"/>
          <w:szCs w:val="24"/>
        </w:rPr>
        <w:t>dibuat suatu perencanaan pe</w:t>
      </w:r>
      <w:r w:rsidR="009F7A12">
        <w:rPr>
          <w:rFonts w:ascii="Times New Roman" w:hAnsi="Times New Roman" w:cs="Times New Roman"/>
          <w:sz w:val="24"/>
          <w:szCs w:val="24"/>
        </w:rPr>
        <w:t>rs</w:t>
      </w:r>
      <w:r w:rsidRPr="00244497">
        <w:rPr>
          <w:rFonts w:ascii="Times New Roman" w:hAnsi="Times New Roman" w:cs="Times New Roman"/>
          <w:sz w:val="24"/>
          <w:szCs w:val="24"/>
        </w:rPr>
        <w:t xml:space="preserve">ebaran </w:t>
      </w:r>
      <w:r w:rsidR="009F7A12">
        <w:rPr>
          <w:rFonts w:ascii="Times New Roman" w:hAnsi="Times New Roman" w:cs="Times New Roman"/>
          <w:sz w:val="24"/>
          <w:szCs w:val="24"/>
        </w:rPr>
        <w:t xml:space="preserve">guru </w:t>
      </w:r>
      <w:r w:rsidRPr="00244497">
        <w:rPr>
          <w:rFonts w:ascii="Times New Roman" w:hAnsi="Times New Roman" w:cs="Times New Roman"/>
          <w:sz w:val="24"/>
          <w:szCs w:val="24"/>
        </w:rPr>
        <w:t xml:space="preserve">yang merata </w:t>
      </w:r>
      <w:r w:rsidR="009F7A12">
        <w:rPr>
          <w:rFonts w:ascii="Times New Roman" w:hAnsi="Times New Roman" w:cs="Times New Roman"/>
          <w:sz w:val="24"/>
          <w:szCs w:val="24"/>
        </w:rPr>
        <w:t xml:space="preserve">sehingga </w:t>
      </w:r>
      <w:r w:rsidRPr="00244497">
        <w:rPr>
          <w:rFonts w:ascii="Times New Roman" w:hAnsi="Times New Roman" w:cs="Times New Roman"/>
          <w:sz w:val="24"/>
          <w:szCs w:val="24"/>
        </w:rPr>
        <w:t>dapat membantu institusi yang memiliki guru relatif sedikit untuk dapat sesegera mungkin memenuhi kebutuhan guru sesuai beban ajarnya.</w:t>
      </w:r>
      <w:r w:rsidR="008E59AF" w:rsidRPr="00244497">
        <w:rPr>
          <w:rFonts w:ascii="Times New Roman" w:hAnsi="Times New Roman" w:cs="Times New Roman"/>
          <w:sz w:val="24"/>
          <w:szCs w:val="24"/>
        </w:rPr>
        <w:t xml:space="preserve"> </w:t>
      </w:r>
      <w:r w:rsidR="0019445C">
        <w:rPr>
          <w:rFonts w:ascii="Times New Roman" w:hAnsi="Times New Roman" w:cs="Times New Roman"/>
          <w:sz w:val="24"/>
          <w:szCs w:val="24"/>
        </w:rPr>
        <w:t xml:space="preserve">Rekrutmen guru-guru baru ini akan ditunjang dengan advokasi ke Kementerian Pemberdayaan Aparatur Negara sebagai penentu penerimaan PNS, terutama untuk institusi pendidikan milik pemerintah (Universitas Negeri). </w:t>
      </w:r>
      <w:r w:rsidR="008E59AF" w:rsidRPr="00244497">
        <w:rPr>
          <w:rFonts w:ascii="Times New Roman" w:hAnsi="Times New Roman" w:cs="Times New Roman"/>
          <w:sz w:val="24"/>
          <w:szCs w:val="24"/>
        </w:rPr>
        <w:t>Pilihan kedua adalah dengan penyebaran silang guru. Dalam hal ini, guru yang telah aktif dalam pendidikan akan diperbantukan secara periodik ke institusi lain</w:t>
      </w:r>
      <w:r w:rsidR="00F2090C">
        <w:rPr>
          <w:rFonts w:ascii="Times New Roman" w:hAnsi="Times New Roman" w:cs="Times New Roman"/>
          <w:sz w:val="24"/>
          <w:szCs w:val="24"/>
        </w:rPr>
        <w:t>, sebagai “guru sebar silang”</w:t>
      </w:r>
      <w:r w:rsidR="008E59AF" w:rsidRPr="00244497">
        <w:rPr>
          <w:rFonts w:ascii="Times New Roman" w:hAnsi="Times New Roman" w:cs="Times New Roman"/>
          <w:sz w:val="24"/>
          <w:szCs w:val="24"/>
        </w:rPr>
        <w:t xml:space="preserve">. Alurnya adalah guru dari PUK tertentu akan membantu mengisi kekurangan guru untuk kompetensi </w:t>
      </w:r>
      <w:r w:rsidR="007E2F53" w:rsidRPr="00244497">
        <w:rPr>
          <w:rFonts w:ascii="Times New Roman" w:hAnsi="Times New Roman" w:cs="Times New Roman"/>
          <w:sz w:val="24"/>
          <w:szCs w:val="24"/>
        </w:rPr>
        <w:t>dan kurikulum di institusi lain, sehingga capaian kompetensi per peserta PPDS dapat cukup mendalam sesuai dengan standar yang ditetapkan sebelumnya.</w:t>
      </w:r>
      <w:r w:rsidR="00D814B3">
        <w:rPr>
          <w:rFonts w:ascii="Times New Roman" w:hAnsi="Times New Roman" w:cs="Times New Roman"/>
          <w:sz w:val="24"/>
          <w:szCs w:val="24"/>
        </w:rPr>
        <w:t xml:space="preserve"> Untuk mempermudah hal ini, kan dibuat sebuah permisalan yakni</w:t>
      </w:r>
      <w:r w:rsidR="00FD2477">
        <w:rPr>
          <w:rFonts w:ascii="Times New Roman" w:hAnsi="Times New Roman" w:cs="Times New Roman"/>
          <w:sz w:val="24"/>
          <w:szCs w:val="24"/>
        </w:rPr>
        <w:t xml:space="preserve"> universitas A kurang dalam hal guru psikiatri komunitas, maka universitas B sebagai PUK psikiatri komunitas yang mengedepankan KUI psikiatri komunitas akan memperbantukan guru psikiatri komunitasnya ke universitas A secar</w:t>
      </w:r>
      <w:r w:rsidR="005D7755">
        <w:rPr>
          <w:rFonts w:ascii="Times New Roman" w:hAnsi="Times New Roman" w:cs="Times New Roman"/>
          <w:sz w:val="24"/>
          <w:szCs w:val="24"/>
        </w:rPr>
        <w:t>a periodik atas nama pendidikan.</w:t>
      </w:r>
    </w:p>
    <w:p w:rsidR="00967BF0" w:rsidRPr="00244497" w:rsidRDefault="00967BF0" w:rsidP="00244497">
      <w:pPr>
        <w:spacing w:after="0" w:line="360" w:lineRule="auto"/>
        <w:ind w:firstLine="720"/>
        <w:jc w:val="both"/>
        <w:rPr>
          <w:rFonts w:ascii="Times New Roman" w:hAnsi="Times New Roman" w:cs="Times New Roman"/>
          <w:sz w:val="24"/>
          <w:szCs w:val="24"/>
        </w:rPr>
      </w:pPr>
    </w:p>
    <w:p w:rsidR="004B3930" w:rsidRPr="00244497" w:rsidRDefault="004B3930"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Tahap </w:t>
      </w:r>
      <w:r w:rsidR="00A85EB2" w:rsidRPr="00244497">
        <w:rPr>
          <w:rFonts w:ascii="Times New Roman" w:hAnsi="Times New Roman" w:cs="Times New Roman"/>
          <w:sz w:val="24"/>
          <w:szCs w:val="24"/>
        </w:rPr>
        <w:t>I</w:t>
      </w:r>
      <w:r w:rsidRPr="00244497">
        <w:rPr>
          <w:rFonts w:ascii="Times New Roman" w:hAnsi="Times New Roman" w:cs="Times New Roman"/>
          <w:sz w:val="24"/>
          <w:szCs w:val="24"/>
        </w:rPr>
        <w:t xml:space="preserve">V: </w:t>
      </w:r>
      <w:r w:rsidR="00EC3B9A" w:rsidRPr="00244497">
        <w:rPr>
          <w:rFonts w:ascii="Times New Roman" w:hAnsi="Times New Roman" w:cs="Times New Roman"/>
          <w:sz w:val="24"/>
          <w:szCs w:val="24"/>
        </w:rPr>
        <w:t>Penentuan Komitmen Mengajar</w:t>
      </w:r>
    </w:p>
    <w:p w:rsidR="00EC3B9A" w:rsidRPr="00244497" w:rsidRDefault="00A53D9E"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Semua hal di atas yang telah dicapai tidak akan dapat berjalan dengan baik apabila tidak ada komitmen. Dalam hal ini, masing-masing guru akan dimintakan proporsi komitmennya di bidang pendidikan psikiatri. Mungkin tidak semua guru akan memberikan komitmen penuh karena memutuskan akan lebih menyalurkan komitmennya di bidang lain, seperti pelayanan atau administrasi rumah sakit. Karena itu, penulis mengusulkan untuk mendata dan membagi guru-guru dalam beberapa tingkatan beban ajar</w:t>
      </w:r>
      <w:r w:rsidR="00A8564D" w:rsidRPr="00244497">
        <w:rPr>
          <w:rFonts w:ascii="Times New Roman" w:hAnsi="Times New Roman" w:cs="Times New Roman"/>
          <w:sz w:val="24"/>
          <w:szCs w:val="24"/>
        </w:rPr>
        <w:t xml:space="preserve"> per semester</w:t>
      </w:r>
      <w:r w:rsidRPr="00244497">
        <w:rPr>
          <w:rFonts w:ascii="Times New Roman" w:hAnsi="Times New Roman" w:cs="Times New Roman"/>
          <w:sz w:val="24"/>
          <w:szCs w:val="24"/>
        </w:rPr>
        <w:t>.</w:t>
      </w:r>
      <w:r w:rsidR="00A8564D" w:rsidRPr="00244497">
        <w:rPr>
          <w:rFonts w:ascii="Times New Roman" w:hAnsi="Times New Roman" w:cs="Times New Roman"/>
          <w:sz w:val="24"/>
          <w:szCs w:val="24"/>
        </w:rPr>
        <w:t xml:space="preserve"> Guru-guru yang memutuskan untuk mengabdikan sebagian kecil beban ajar per semester akan diberi proporsi dan beban ajar yang sesuai pula, dengan catatan bahwa </w:t>
      </w:r>
      <w:r w:rsidR="006A3F0B" w:rsidRPr="00244497">
        <w:rPr>
          <w:rFonts w:ascii="Times New Roman" w:hAnsi="Times New Roman" w:cs="Times New Roman"/>
          <w:sz w:val="24"/>
          <w:szCs w:val="24"/>
        </w:rPr>
        <w:t xml:space="preserve">dalam institusinya </w:t>
      </w:r>
      <w:r w:rsidR="00A8564D" w:rsidRPr="00244497">
        <w:rPr>
          <w:rFonts w:ascii="Times New Roman" w:hAnsi="Times New Roman" w:cs="Times New Roman"/>
          <w:sz w:val="24"/>
          <w:szCs w:val="24"/>
        </w:rPr>
        <w:lastRenderedPageBreak/>
        <w:t xml:space="preserve">divisi yang </w:t>
      </w:r>
      <w:r w:rsidR="006A3F0B" w:rsidRPr="00244497">
        <w:rPr>
          <w:rFonts w:ascii="Times New Roman" w:hAnsi="Times New Roman" w:cs="Times New Roman"/>
          <w:sz w:val="24"/>
          <w:szCs w:val="24"/>
        </w:rPr>
        <w:t>ia kembangkan tidak kekurangan tenaga atau telah mendapatkan jaminan akan adanya guru sebar silang dari PUK lain.</w:t>
      </w:r>
      <w:r w:rsidR="00B81DA9" w:rsidRPr="00244497">
        <w:rPr>
          <w:rFonts w:ascii="Times New Roman" w:hAnsi="Times New Roman" w:cs="Times New Roman"/>
          <w:sz w:val="24"/>
          <w:szCs w:val="24"/>
        </w:rPr>
        <w:t xml:space="preserve"> Akan dicantumkan pula dalam komitmen ini bahwa masing-masing guru akan mematuhi kurikulum dan tidak menambah beban pendidikan tanpa sepengetahuan koordinator pendidikannya.</w:t>
      </w:r>
    </w:p>
    <w:p w:rsidR="00967BF0" w:rsidRPr="00244497" w:rsidRDefault="00967BF0" w:rsidP="00244497">
      <w:pPr>
        <w:spacing w:after="0" w:line="360" w:lineRule="auto"/>
        <w:ind w:firstLine="720"/>
        <w:jc w:val="both"/>
        <w:rPr>
          <w:rFonts w:ascii="Times New Roman" w:hAnsi="Times New Roman" w:cs="Times New Roman"/>
          <w:sz w:val="24"/>
          <w:szCs w:val="24"/>
        </w:rPr>
      </w:pPr>
    </w:p>
    <w:p w:rsidR="00EC3B9A" w:rsidRPr="00244497" w:rsidRDefault="00EC3B9A"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Tahap V: Pelaksanaan dan Penilaian Berkesinambungan</w:t>
      </w:r>
    </w:p>
    <w:p w:rsidR="0082494F" w:rsidRPr="00244497" w:rsidRDefault="009B64B5"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 xml:space="preserve">Tahap terakhir adalah </w:t>
      </w:r>
      <w:r w:rsidR="00451509" w:rsidRPr="00244497">
        <w:rPr>
          <w:rFonts w:ascii="Times New Roman" w:hAnsi="Times New Roman" w:cs="Times New Roman"/>
          <w:sz w:val="24"/>
          <w:szCs w:val="24"/>
        </w:rPr>
        <w:t xml:space="preserve">tahap pelaksanaan. Pada tahap ini, peran divisi pendidikan </w:t>
      </w:r>
      <w:r w:rsidR="002C6D46" w:rsidRPr="00244497">
        <w:rPr>
          <w:rFonts w:ascii="Times New Roman" w:hAnsi="Times New Roman" w:cs="Times New Roman"/>
          <w:sz w:val="24"/>
          <w:szCs w:val="24"/>
        </w:rPr>
        <w:t xml:space="preserve">PDSKJI </w:t>
      </w:r>
      <w:r w:rsidR="001D7CB7" w:rsidRPr="00244497">
        <w:rPr>
          <w:rFonts w:ascii="Times New Roman" w:hAnsi="Times New Roman" w:cs="Times New Roman"/>
          <w:sz w:val="24"/>
          <w:szCs w:val="24"/>
        </w:rPr>
        <w:t xml:space="preserve">adalah memantau pelaksanaannya, agar pendidikan dapat berjalan sesuai dengan apa yang dijanjikan kepada peserta PPDS ketika mereka masih menjadi calon peserta, dan tidak ada penyimpangan atau perubahan tiba-tiba di tengah jalan yang dapat menurunkan semangat belajar peserta PPDS. </w:t>
      </w:r>
      <w:r w:rsidR="0082675F" w:rsidRPr="00244497">
        <w:rPr>
          <w:rFonts w:ascii="Times New Roman" w:hAnsi="Times New Roman" w:cs="Times New Roman"/>
          <w:sz w:val="24"/>
          <w:szCs w:val="24"/>
        </w:rPr>
        <w:t>Pemantauan ini akan sangat memerlukan bantuan koordinator pendidikan masing-masing institusi.</w:t>
      </w:r>
      <w:r w:rsidR="00677F8D" w:rsidRPr="00244497">
        <w:rPr>
          <w:rFonts w:ascii="Times New Roman" w:hAnsi="Times New Roman" w:cs="Times New Roman"/>
          <w:sz w:val="24"/>
          <w:szCs w:val="24"/>
        </w:rPr>
        <w:t xml:space="preserve"> Akan dilakukan pula penilaian ulang secara berkesinambungan secara periodik per tahun, dengan menjalani ulang setiap tahapan sebelumnya secara kilas balik dan membenahi yang masih belum mencapai kesempurnaan yang diinginkan.</w:t>
      </w:r>
      <w:r w:rsidR="00C66B10" w:rsidRPr="00244497">
        <w:rPr>
          <w:rFonts w:ascii="Times New Roman" w:hAnsi="Times New Roman" w:cs="Times New Roman"/>
          <w:sz w:val="24"/>
          <w:szCs w:val="24"/>
        </w:rPr>
        <w:t xml:space="preserve"> Dalam hal ini, akan dibuat berbagai indikator yang akan dijelaskan selanjutnya.</w:t>
      </w:r>
    </w:p>
    <w:p w:rsidR="00D237B7" w:rsidRPr="00244497" w:rsidRDefault="00D237B7" w:rsidP="00244497">
      <w:pPr>
        <w:spacing w:after="0" w:line="360" w:lineRule="auto"/>
        <w:jc w:val="both"/>
        <w:rPr>
          <w:rFonts w:ascii="Times New Roman" w:hAnsi="Times New Roman" w:cs="Times New Roman"/>
          <w:sz w:val="24"/>
          <w:szCs w:val="24"/>
        </w:rPr>
      </w:pPr>
    </w:p>
    <w:p w:rsidR="00D237B7" w:rsidRPr="00244497" w:rsidRDefault="003E0980" w:rsidP="00244497">
      <w:p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7</w:t>
      </w:r>
      <w:r w:rsidR="00D237B7" w:rsidRPr="00244497">
        <w:rPr>
          <w:rFonts w:ascii="Times New Roman" w:hAnsi="Times New Roman" w:cs="Times New Roman"/>
          <w:sz w:val="24"/>
          <w:szCs w:val="24"/>
        </w:rPr>
        <w:t>. Pembiayaan</w:t>
      </w:r>
    </w:p>
    <w:p w:rsidR="00D237B7" w:rsidRDefault="005F1087" w:rsidP="00244497">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Apabila terlaksana, maka divisi pendidikan PDSKJI diharapkan akan mendapatkan pendanaan dari organisasi untuk menjalankan </w:t>
      </w:r>
      <w:r w:rsidR="00A93C3E">
        <w:rPr>
          <w:rFonts w:ascii="Times New Roman" w:hAnsi="Times New Roman" w:cs="Times New Roman"/>
          <w:sz w:val="24"/>
          <w:szCs w:val="24"/>
        </w:rPr>
        <w:t>aktivitas</w:t>
      </w:r>
      <w:r>
        <w:rPr>
          <w:rFonts w:ascii="Times New Roman" w:hAnsi="Times New Roman" w:cs="Times New Roman"/>
          <w:sz w:val="24"/>
          <w:szCs w:val="24"/>
        </w:rPr>
        <w:t xml:space="preserve"> tahunannya</w:t>
      </w:r>
      <w:r w:rsidR="00A93C3E">
        <w:rPr>
          <w:rFonts w:ascii="Times New Roman" w:hAnsi="Times New Roman" w:cs="Times New Roman"/>
          <w:sz w:val="24"/>
          <w:szCs w:val="24"/>
        </w:rPr>
        <w:t>, serta dari pihak lain untuk penyelenggaraan aktivitasnya di tingkat institusi</w:t>
      </w:r>
      <w:r>
        <w:rPr>
          <w:rFonts w:ascii="Times New Roman" w:hAnsi="Times New Roman" w:cs="Times New Roman"/>
          <w:sz w:val="24"/>
          <w:szCs w:val="24"/>
        </w:rPr>
        <w:t>.</w:t>
      </w:r>
      <w:r w:rsidR="00A93C3E">
        <w:rPr>
          <w:rFonts w:ascii="Times New Roman" w:hAnsi="Times New Roman" w:cs="Times New Roman"/>
          <w:sz w:val="24"/>
          <w:szCs w:val="24"/>
        </w:rPr>
        <w:t xml:space="preserve"> Rincian biaya sebaiknya dibuat per kegiatan (misal setiap rapat dibuat proposal hingga rincian biayanya, dsb). Beberapa sumber dana yang dapat dipertimbangkan antara lain:</w:t>
      </w:r>
    </w:p>
    <w:p w:rsidR="00A93C3E" w:rsidRDefault="00A93C3E" w:rsidP="00A93C3E">
      <w:pPr>
        <w:pStyle w:val="ListParagraph"/>
        <w:numPr>
          <w:ilvl w:val="0"/>
          <w:numId w:val="4"/>
        </w:num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Untuk pelaksanaan rapat dan diskusi tahunannya</w:t>
      </w:r>
      <w:r w:rsidR="00F2090C">
        <w:rPr>
          <w:rFonts w:ascii="Times New Roman" w:hAnsi="Times New Roman" w:cs="Times New Roman"/>
          <w:sz w:val="24"/>
          <w:szCs w:val="24"/>
        </w:rPr>
        <w:t>, dana</w:t>
      </w:r>
      <w:r>
        <w:rPr>
          <w:rFonts w:ascii="Times New Roman" w:hAnsi="Times New Roman" w:cs="Times New Roman"/>
          <w:sz w:val="24"/>
          <w:szCs w:val="24"/>
        </w:rPr>
        <w:t xml:space="preserve"> akan diambil dari kas PDSKJI</w:t>
      </w:r>
      <w:r w:rsidR="00F2090C">
        <w:rPr>
          <w:rFonts w:ascii="Times New Roman" w:hAnsi="Times New Roman" w:cs="Times New Roman"/>
          <w:sz w:val="24"/>
          <w:szCs w:val="24"/>
        </w:rPr>
        <w:t>. Rasional atas hal ini adalah karena rapat dan diskusi tahunan akan dijadikan agenda menetap dari PDSKJI.</w:t>
      </w:r>
    </w:p>
    <w:p w:rsidR="00A93C3E" w:rsidRPr="00A93C3E" w:rsidRDefault="00F2090C" w:rsidP="00A93C3E">
      <w:pPr>
        <w:pStyle w:val="ListParagraph"/>
        <w:numPr>
          <w:ilvl w:val="0"/>
          <w:numId w:val="4"/>
        </w:num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Untuk mendatangkan guru sebar silang dari PUK lain, dana akan disediakan pihak rumah sakit. Rasional atas hal ini adalah kompensasi atas pelayanan peserta PPDS yang dibayarkan dalam bentuk dukunga</w:t>
      </w:r>
      <w:r w:rsidR="00132AB5">
        <w:rPr>
          <w:rFonts w:ascii="Times New Roman" w:hAnsi="Times New Roman" w:cs="Times New Roman"/>
          <w:sz w:val="24"/>
          <w:szCs w:val="24"/>
        </w:rPr>
        <w:t xml:space="preserve">n penyelenggaraan pendidikannya dan </w:t>
      </w:r>
      <w:r w:rsidR="00DC35F1">
        <w:rPr>
          <w:rFonts w:ascii="Times New Roman" w:hAnsi="Times New Roman" w:cs="Times New Roman"/>
          <w:sz w:val="24"/>
          <w:szCs w:val="24"/>
        </w:rPr>
        <w:t xml:space="preserve">dengan adanya </w:t>
      </w:r>
      <w:r w:rsidR="00132AB5">
        <w:rPr>
          <w:rFonts w:ascii="Times New Roman" w:hAnsi="Times New Roman" w:cs="Times New Roman"/>
          <w:sz w:val="24"/>
          <w:szCs w:val="24"/>
        </w:rPr>
        <w:t xml:space="preserve">pendalaman kompetensi </w:t>
      </w:r>
      <w:r w:rsidR="00DC35F1">
        <w:rPr>
          <w:rFonts w:ascii="Times New Roman" w:hAnsi="Times New Roman" w:cs="Times New Roman"/>
          <w:sz w:val="24"/>
          <w:szCs w:val="24"/>
        </w:rPr>
        <w:t xml:space="preserve">seperti ini, </w:t>
      </w:r>
      <w:r w:rsidR="00132AB5">
        <w:rPr>
          <w:rFonts w:ascii="Times New Roman" w:hAnsi="Times New Roman" w:cs="Times New Roman"/>
          <w:sz w:val="24"/>
          <w:szCs w:val="24"/>
        </w:rPr>
        <w:t xml:space="preserve">pihak rumah sakit </w:t>
      </w:r>
      <w:r w:rsidR="00DC35F1">
        <w:rPr>
          <w:rFonts w:ascii="Times New Roman" w:hAnsi="Times New Roman" w:cs="Times New Roman"/>
          <w:sz w:val="24"/>
          <w:szCs w:val="24"/>
        </w:rPr>
        <w:t xml:space="preserve">akan mendapat </w:t>
      </w:r>
      <w:r w:rsidR="00132AB5">
        <w:rPr>
          <w:rFonts w:ascii="Times New Roman" w:hAnsi="Times New Roman" w:cs="Times New Roman"/>
          <w:sz w:val="24"/>
          <w:szCs w:val="24"/>
        </w:rPr>
        <w:t>pemberi layanan yang lebih baik.</w:t>
      </w:r>
    </w:p>
    <w:p w:rsidR="003D31C8" w:rsidRDefault="003D31C8">
      <w:pPr>
        <w:rPr>
          <w:rFonts w:ascii="Times New Roman" w:hAnsi="Times New Roman" w:cs="Times New Roman"/>
          <w:sz w:val="24"/>
          <w:szCs w:val="24"/>
        </w:rPr>
      </w:pPr>
      <w:r>
        <w:rPr>
          <w:rFonts w:ascii="Times New Roman" w:hAnsi="Times New Roman" w:cs="Times New Roman"/>
          <w:sz w:val="24"/>
          <w:szCs w:val="24"/>
        </w:rPr>
        <w:br w:type="page"/>
      </w:r>
    </w:p>
    <w:p w:rsidR="00D237B7" w:rsidRDefault="001566D6" w:rsidP="00244497">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en-GB"/>
        </w:rPr>
        <w:lastRenderedPageBreak/>
        <w:pict>
          <v:rect id="_x0000_s1026" style="position:absolute;left:0;text-align:left;margin-left:150.9pt;margin-top:14.4pt;width:137.7pt;height:44.45pt;z-index:251658240;v-text-anchor:middle">
            <v:textbox style="mso-next-textbox:#_x0000_s1026">
              <w:txbxContent>
                <w:p w:rsidR="003D31C8" w:rsidRDefault="003D31C8" w:rsidP="003D31C8">
                  <w:pPr>
                    <w:spacing w:after="0" w:line="240" w:lineRule="auto"/>
                    <w:jc w:val="center"/>
                  </w:pPr>
                  <w:r>
                    <w:t>PDSKJI</w:t>
                  </w:r>
                </w:p>
              </w:txbxContent>
            </v:textbox>
          </v:rect>
        </w:pict>
      </w:r>
      <w:r w:rsidR="003E0980" w:rsidRPr="00244497">
        <w:rPr>
          <w:rFonts w:ascii="Times New Roman" w:hAnsi="Times New Roman" w:cs="Times New Roman"/>
          <w:sz w:val="24"/>
          <w:szCs w:val="24"/>
        </w:rPr>
        <w:t>8</w:t>
      </w:r>
      <w:r w:rsidR="00D237B7" w:rsidRPr="00244497">
        <w:rPr>
          <w:rFonts w:ascii="Times New Roman" w:hAnsi="Times New Roman" w:cs="Times New Roman"/>
          <w:sz w:val="24"/>
          <w:szCs w:val="24"/>
        </w:rPr>
        <w:t>. Organisasi</w:t>
      </w:r>
    </w:p>
    <w:p w:rsidR="003D31C8" w:rsidRPr="00244497" w:rsidRDefault="003D31C8" w:rsidP="00244497">
      <w:pPr>
        <w:spacing w:after="0" w:line="360" w:lineRule="auto"/>
        <w:jc w:val="both"/>
        <w:rPr>
          <w:rFonts w:ascii="Times New Roman" w:hAnsi="Times New Roman" w:cs="Times New Roman"/>
          <w:sz w:val="24"/>
          <w:szCs w:val="24"/>
        </w:rPr>
      </w:pPr>
    </w:p>
    <w:p w:rsidR="00D237B7" w:rsidRPr="00244497" w:rsidRDefault="001566D6" w:rsidP="00244497">
      <w:pPr>
        <w:spacing w:after="0" w:line="360" w:lineRule="auto"/>
        <w:ind w:firstLine="720"/>
        <w:jc w:val="both"/>
        <w:rPr>
          <w:rFonts w:ascii="Times New Roman" w:hAnsi="Times New Roman" w:cs="Times New Roman"/>
          <w:sz w:val="24"/>
          <w:szCs w:val="24"/>
        </w:rPr>
      </w:pPr>
      <w:r>
        <w:rPr>
          <w:rFonts w:ascii="Times New Roman" w:hAnsi="Times New Roman" w:cs="Times New Roman"/>
          <w:noProof/>
          <w:sz w:val="24"/>
          <w:szCs w:val="24"/>
          <w:lang w:eastAsia="en-GB"/>
        </w:rPr>
        <w:pict>
          <v:shapetype id="_x0000_t32" coordsize="21600,21600" o:spt="32" o:oned="t" path="m,l21600,21600e" filled="f">
            <v:path arrowok="t" fillok="f" o:connecttype="none"/>
            <o:lock v:ext="edit" shapetype="t"/>
          </v:shapetype>
          <v:shape id="_x0000_s1043" type="#_x0000_t32" style="position:absolute;left:0;text-align:left;margin-left:124.6pt;margin-top:180.25pt;width:26.3pt;height:0;z-index:251674624" o:connectortype="straight">
            <v:stroke dashstyle="dash"/>
          </v:shape>
        </w:pict>
      </w:r>
      <w:r>
        <w:rPr>
          <w:rFonts w:ascii="Times New Roman" w:hAnsi="Times New Roman" w:cs="Times New Roman"/>
          <w:noProof/>
          <w:sz w:val="24"/>
          <w:szCs w:val="24"/>
          <w:lang w:eastAsia="en-GB"/>
        </w:rPr>
        <w:pict>
          <v:shape id="_x0000_s1042" type="#_x0000_t32" style="position:absolute;left:0;text-align:left;margin-left:124.6pt;margin-top:136.4pt;width:26.3pt;height:0;z-index:251673600" o:connectortype="straight">
            <v:stroke dashstyle="dash"/>
          </v:shape>
        </w:pict>
      </w:r>
      <w:r>
        <w:rPr>
          <w:rFonts w:ascii="Times New Roman" w:hAnsi="Times New Roman" w:cs="Times New Roman"/>
          <w:noProof/>
          <w:sz w:val="24"/>
          <w:szCs w:val="24"/>
          <w:lang w:eastAsia="en-GB"/>
        </w:rPr>
        <w:pict>
          <v:shape id="_x0000_s1033" type="#_x0000_t32" style="position:absolute;left:0;text-align:left;margin-left:219.75pt;margin-top:17.45pt;width:0;height:25.65pt;z-index:251664384" o:connectortype="straight">
            <v:stroke endarrow="block"/>
          </v:shape>
        </w:pict>
      </w:r>
      <w:r>
        <w:rPr>
          <w:rFonts w:ascii="Times New Roman" w:hAnsi="Times New Roman" w:cs="Times New Roman"/>
          <w:noProof/>
          <w:sz w:val="24"/>
          <w:szCs w:val="24"/>
          <w:lang w:eastAsia="en-GB"/>
        </w:rPr>
        <w:pict>
          <v:rect id="_x0000_s1037" style="position:absolute;left:0;text-align:left;margin-left:-15.65pt;margin-top:43.1pt;width:137.7pt;height:44.45pt;z-index:251668480;v-text-anchor:middle">
            <v:textbox style="mso-next-textbox:#_x0000_s1037">
              <w:txbxContent>
                <w:p w:rsidR="00ED5C51" w:rsidRDefault="00ED5C51" w:rsidP="003D31C8">
                  <w:pPr>
                    <w:spacing w:after="0" w:line="240" w:lineRule="auto"/>
                    <w:jc w:val="center"/>
                  </w:pPr>
                  <w:r>
                    <w:t>Divisi Lainnya</w:t>
                  </w:r>
                </w:p>
              </w:txbxContent>
            </v:textbox>
          </v:rect>
        </w:pict>
      </w:r>
      <w:r>
        <w:rPr>
          <w:rFonts w:ascii="Times New Roman" w:hAnsi="Times New Roman" w:cs="Times New Roman"/>
          <w:noProof/>
          <w:sz w:val="24"/>
          <w:szCs w:val="24"/>
          <w:lang w:eastAsia="en-GB"/>
        </w:rPr>
        <w:pict>
          <v:shape id="_x0000_s1036" type="#_x0000_t32" style="position:absolute;left:0;text-align:left;margin-left:288.6pt;margin-top:136.4pt;width:26.3pt;height:0;z-index:251667456" o:connectortype="straight">
            <v:stroke dashstyle="dash"/>
          </v:shape>
        </w:pict>
      </w:r>
      <w:r>
        <w:rPr>
          <w:rFonts w:ascii="Times New Roman" w:hAnsi="Times New Roman" w:cs="Times New Roman"/>
          <w:noProof/>
          <w:sz w:val="24"/>
          <w:szCs w:val="24"/>
          <w:lang w:eastAsia="en-GB"/>
        </w:rPr>
        <w:pict>
          <v:rect id="_x0000_s1029" style="position:absolute;left:0;text-align:left;margin-left:150.9pt;margin-top:229pt;width:137.7pt;height:44.45pt;z-index:251661312;v-text-anchor:middle">
            <v:textbox style="mso-next-textbox:#_x0000_s1029">
              <w:txbxContent>
                <w:p w:rsidR="003D31C8" w:rsidRDefault="008D349D" w:rsidP="003D31C8">
                  <w:pPr>
                    <w:spacing w:after="0" w:line="240" w:lineRule="auto"/>
                    <w:jc w:val="center"/>
                  </w:pPr>
                  <w:r>
                    <w:t>Guru</w:t>
                  </w:r>
                </w:p>
              </w:txbxContent>
            </v:textbox>
          </v:rect>
        </w:pict>
      </w:r>
      <w:r>
        <w:rPr>
          <w:rFonts w:ascii="Times New Roman" w:hAnsi="Times New Roman" w:cs="Times New Roman"/>
          <w:noProof/>
          <w:sz w:val="24"/>
          <w:szCs w:val="24"/>
          <w:lang w:eastAsia="en-GB"/>
        </w:rPr>
        <w:pict>
          <v:shape id="_x0000_s1035" type="#_x0000_t32" style="position:absolute;left:0;text-align:left;margin-left:219.75pt;margin-top:203.35pt;width:0;height:25.65pt;z-index:251666432" o:connectortype="straight">
            <v:stroke startarrow="block" endarrow="block"/>
          </v:shape>
        </w:pict>
      </w:r>
      <w:r>
        <w:rPr>
          <w:rFonts w:ascii="Times New Roman" w:hAnsi="Times New Roman" w:cs="Times New Roman"/>
          <w:noProof/>
          <w:sz w:val="24"/>
          <w:szCs w:val="24"/>
          <w:lang w:eastAsia="en-GB"/>
        </w:rPr>
        <w:pict>
          <v:rect id="_x0000_s1031" style="position:absolute;left:0;text-align:left;margin-left:314.9pt;margin-top:113.8pt;width:137.7pt;height:44.45pt;z-index:251663360;v-text-anchor:middle">
            <v:textbox style="mso-next-textbox:#_x0000_s1031">
              <w:txbxContent>
                <w:p w:rsidR="003D31C8" w:rsidRDefault="003D31C8" w:rsidP="003D31C8">
                  <w:pPr>
                    <w:spacing w:after="0" w:line="240" w:lineRule="auto"/>
                    <w:jc w:val="center"/>
                  </w:pPr>
                  <w:r>
                    <w:t>Rumah Sakit Pendidikan</w:t>
                  </w:r>
                </w:p>
              </w:txbxContent>
            </v:textbox>
          </v:rect>
        </w:pict>
      </w:r>
      <w:r>
        <w:rPr>
          <w:rFonts w:ascii="Times New Roman" w:hAnsi="Times New Roman" w:cs="Times New Roman"/>
          <w:noProof/>
          <w:sz w:val="24"/>
          <w:szCs w:val="24"/>
          <w:lang w:eastAsia="en-GB"/>
        </w:rPr>
        <w:pict>
          <v:rect id="_x0000_s1030" style="position:absolute;left:0;text-align:left;margin-left:150.9pt;margin-top:158.25pt;width:137.7pt;height:44.45pt;z-index:251662336;v-text-anchor:middle">
            <v:textbox style="mso-next-textbox:#_x0000_s1030">
              <w:txbxContent>
                <w:p w:rsidR="003D31C8" w:rsidRDefault="003D31C8" w:rsidP="003D31C8">
                  <w:pPr>
                    <w:spacing w:after="0" w:line="240" w:lineRule="auto"/>
                    <w:jc w:val="center"/>
                  </w:pPr>
                  <w:r>
                    <w:t>Koordinator Pendidikan</w:t>
                  </w:r>
                </w:p>
              </w:txbxContent>
            </v:textbox>
          </v:rect>
        </w:pict>
      </w:r>
      <w:r>
        <w:rPr>
          <w:rFonts w:ascii="Times New Roman" w:hAnsi="Times New Roman" w:cs="Times New Roman"/>
          <w:noProof/>
          <w:sz w:val="24"/>
          <w:szCs w:val="24"/>
          <w:lang w:eastAsia="en-GB"/>
        </w:rPr>
        <w:pict>
          <v:rect id="_x0000_s1028" style="position:absolute;left:0;text-align:left;margin-left:150.9pt;margin-top:113.8pt;width:137.7pt;height:44.45pt;z-index:251660288;v-text-anchor:middle">
            <v:textbox style="mso-next-textbox:#_x0000_s1028">
              <w:txbxContent>
                <w:p w:rsidR="003D31C8" w:rsidRDefault="003D31C8" w:rsidP="003D31C8">
                  <w:pPr>
                    <w:spacing w:after="0" w:line="240" w:lineRule="auto"/>
                    <w:jc w:val="center"/>
                  </w:pPr>
                  <w:r>
                    <w:t>Fakultas Kedokteran</w:t>
                  </w:r>
                </w:p>
              </w:txbxContent>
            </v:textbox>
          </v:rect>
        </w:pict>
      </w:r>
      <w:r>
        <w:rPr>
          <w:rFonts w:ascii="Times New Roman" w:hAnsi="Times New Roman" w:cs="Times New Roman"/>
          <w:noProof/>
          <w:sz w:val="24"/>
          <w:szCs w:val="24"/>
          <w:lang w:eastAsia="en-GB"/>
        </w:rPr>
        <w:pict>
          <v:rect id="_x0000_s1027" style="position:absolute;left:0;text-align:left;margin-left:150.9pt;margin-top:43.1pt;width:137.7pt;height:44.45pt;z-index:251659264;v-text-anchor:middle">
            <v:textbox style="mso-next-textbox:#_x0000_s1027">
              <w:txbxContent>
                <w:p w:rsidR="003D31C8" w:rsidRDefault="003D31C8" w:rsidP="003D31C8">
                  <w:pPr>
                    <w:spacing w:after="0" w:line="240" w:lineRule="auto"/>
                    <w:jc w:val="center"/>
                  </w:pPr>
                  <w:r>
                    <w:t>Divisi Pendidikan</w:t>
                  </w:r>
                </w:p>
              </w:txbxContent>
            </v:textbox>
          </v:rect>
        </w:pict>
      </w:r>
      <w:r>
        <w:rPr>
          <w:rFonts w:ascii="Times New Roman" w:hAnsi="Times New Roman" w:cs="Times New Roman"/>
          <w:noProof/>
          <w:sz w:val="24"/>
          <w:szCs w:val="24"/>
          <w:lang w:eastAsia="en-GB"/>
        </w:rPr>
        <w:pict>
          <v:shape id="_x0000_s1034" type="#_x0000_t32" style="position:absolute;left:0;text-align:left;margin-left:219.75pt;margin-top:87.55pt;width:0;height:25.65pt;z-index:251665408" o:connectortype="straight">
            <v:stroke endarrow="block"/>
          </v:shape>
        </w:pict>
      </w:r>
    </w:p>
    <w:p w:rsidR="00D237B7" w:rsidRPr="00244497" w:rsidRDefault="001566D6" w:rsidP="00244497">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shape id="_x0000_s1040" type="#_x0000_t32" style="position:absolute;left:0;text-align:left;margin-left:53.85pt;margin-top:7.7pt;width:0;height:14.7pt;z-index:251671552" o:connectortype="straight">
            <v:stroke endarrow="block"/>
          </v:shape>
        </w:pict>
      </w:r>
      <w:r>
        <w:rPr>
          <w:rFonts w:ascii="Times New Roman" w:hAnsi="Times New Roman" w:cs="Times New Roman"/>
          <w:noProof/>
          <w:sz w:val="24"/>
          <w:szCs w:val="24"/>
          <w:lang w:eastAsia="en-GB"/>
        </w:rPr>
        <w:pict>
          <v:shape id="_x0000_s1039" type="#_x0000_t32" style="position:absolute;left:0;text-align:left;margin-left:53.85pt;margin-top:7.7pt;width:165.9pt;height:0;z-index:251670528" o:connectortype="straight"/>
        </w:pict>
      </w:r>
    </w:p>
    <w:p w:rsidR="00ED106C" w:rsidRDefault="001566D6" w:rsidP="00ED106C">
      <w:pPr>
        <w:rPr>
          <w:rFonts w:ascii="Times New Roman" w:hAnsi="Times New Roman" w:cs="Times New Roman"/>
          <w:sz w:val="24"/>
          <w:szCs w:val="24"/>
        </w:rPr>
      </w:pPr>
      <w:r>
        <w:rPr>
          <w:rFonts w:ascii="Times New Roman" w:hAnsi="Times New Roman" w:cs="Times New Roman"/>
          <w:noProof/>
          <w:sz w:val="24"/>
          <w:szCs w:val="24"/>
          <w:lang w:eastAsia="en-GB"/>
        </w:rPr>
        <w:pict>
          <v:shape id="_x0000_s1045" type="#_x0000_t32" style="position:absolute;margin-left:53.85pt;margin-top:213.95pt;width:97.05pt;height:0;z-index:251676672" o:connectortype="straight">
            <v:stroke endarrow="block"/>
          </v:shape>
        </w:pict>
      </w:r>
      <w:r>
        <w:rPr>
          <w:rFonts w:ascii="Times New Roman" w:hAnsi="Times New Roman" w:cs="Times New Roman"/>
          <w:noProof/>
          <w:sz w:val="24"/>
          <w:szCs w:val="24"/>
          <w:lang w:eastAsia="en-GB"/>
        </w:rPr>
        <w:pict>
          <v:shape id="_x0000_s1044" type="#_x0000_t32" style="position:absolute;margin-left:53.85pt;margin-top:161.3pt;width:0;height:52.65pt;z-index:251675648" o:connectortype="straight"/>
        </w:pict>
      </w:r>
      <w:r>
        <w:rPr>
          <w:rFonts w:ascii="Times New Roman" w:hAnsi="Times New Roman" w:cs="Times New Roman"/>
          <w:noProof/>
          <w:sz w:val="24"/>
          <w:szCs w:val="24"/>
          <w:lang w:eastAsia="en-GB"/>
        </w:rPr>
        <w:pict>
          <v:rect id="_x0000_s1041" style="position:absolute;margin-left:-15.65pt;margin-top:72.4pt;width:137.7pt;height:88.9pt;z-index:251672576;v-text-anchor:middle">
            <v:textbox style="mso-next-textbox:#_x0000_s1041">
              <w:txbxContent>
                <w:p w:rsidR="005C6928" w:rsidRDefault="005C6928" w:rsidP="003D31C8">
                  <w:pPr>
                    <w:spacing w:after="0" w:line="240" w:lineRule="auto"/>
                    <w:jc w:val="center"/>
                  </w:pPr>
                  <w:r>
                    <w:t>PUK Lain</w:t>
                  </w:r>
                </w:p>
              </w:txbxContent>
            </v:textbox>
          </v:rect>
        </w:pict>
      </w:r>
      <w:r>
        <w:rPr>
          <w:rFonts w:ascii="Times New Roman" w:hAnsi="Times New Roman" w:cs="Times New Roman"/>
          <w:noProof/>
          <w:sz w:val="24"/>
          <w:szCs w:val="24"/>
          <w:lang w:eastAsia="en-GB"/>
        </w:rPr>
        <w:pict>
          <v:shape id="_x0000_s1038" type="#_x0000_t32" style="position:absolute;margin-left:124.6pt;margin-top:24.3pt;width:26.3pt;height:0;z-index:251669504" o:connectortype="straight">
            <v:stroke dashstyle="dash"/>
          </v:shape>
        </w:pict>
      </w: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ED106C" w:rsidRDefault="00ED106C" w:rsidP="00ED106C">
      <w:pPr>
        <w:rPr>
          <w:rFonts w:ascii="Times New Roman" w:hAnsi="Times New Roman" w:cs="Times New Roman"/>
          <w:sz w:val="24"/>
          <w:szCs w:val="24"/>
        </w:rPr>
      </w:pPr>
    </w:p>
    <w:p w:rsidR="00D237B7" w:rsidRPr="00244497" w:rsidRDefault="003E0980" w:rsidP="00ED106C">
      <w:pPr>
        <w:spacing w:after="0" w:line="360" w:lineRule="auto"/>
        <w:rPr>
          <w:rFonts w:ascii="Times New Roman" w:hAnsi="Times New Roman" w:cs="Times New Roman"/>
          <w:sz w:val="24"/>
          <w:szCs w:val="24"/>
        </w:rPr>
      </w:pPr>
      <w:r w:rsidRPr="00244497">
        <w:rPr>
          <w:rFonts w:ascii="Times New Roman" w:hAnsi="Times New Roman" w:cs="Times New Roman"/>
          <w:sz w:val="24"/>
          <w:szCs w:val="24"/>
        </w:rPr>
        <w:t>9</w:t>
      </w:r>
      <w:r w:rsidR="00D237B7" w:rsidRPr="00244497">
        <w:rPr>
          <w:rFonts w:ascii="Times New Roman" w:hAnsi="Times New Roman" w:cs="Times New Roman"/>
          <w:sz w:val="24"/>
          <w:szCs w:val="24"/>
        </w:rPr>
        <w:t>. Monitoring dan Evaluasi</w:t>
      </w:r>
    </w:p>
    <w:p w:rsidR="00D237B7" w:rsidRPr="00244497" w:rsidRDefault="00F036B4"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Proses monitoring akan sebagian besar</w:t>
      </w:r>
      <w:r w:rsidR="000A243F" w:rsidRPr="00244497">
        <w:rPr>
          <w:rFonts w:ascii="Times New Roman" w:hAnsi="Times New Roman" w:cs="Times New Roman"/>
          <w:sz w:val="24"/>
          <w:szCs w:val="24"/>
        </w:rPr>
        <w:t xml:space="preserve"> dibantu koordinator pendidikan masing-masing institusi.</w:t>
      </w:r>
      <w:r w:rsidR="007F187B" w:rsidRPr="00244497">
        <w:rPr>
          <w:rFonts w:ascii="Times New Roman" w:hAnsi="Times New Roman" w:cs="Times New Roman"/>
          <w:sz w:val="24"/>
          <w:szCs w:val="24"/>
        </w:rPr>
        <w:t xml:space="preserve"> Hal-hal yang dipantau adalah pelaksanaan pendidikannya, apakah sesuai dengan yang dibutuhkan dan digariskan dalam rencana</w:t>
      </w:r>
      <w:r w:rsidR="00371712" w:rsidRPr="00244497">
        <w:rPr>
          <w:rFonts w:ascii="Times New Roman" w:hAnsi="Times New Roman" w:cs="Times New Roman"/>
          <w:sz w:val="24"/>
          <w:szCs w:val="24"/>
        </w:rPr>
        <w:t>.</w:t>
      </w:r>
      <w:r w:rsidR="00237AFC" w:rsidRPr="00244497">
        <w:rPr>
          <w:rFonts w:ascii="Times New Roman" w:hAnsi="Times New Roman" w:cs="Times New Roman"/>
          <w:sz w:val="24"/>
          <w:szCs w:val="24"/>
        </w:rPr>
        <w:t xml:space="preserve"> Untuk membantu proses ini, divisi pendidikan PDSKJI akan </w:t>
      </w:r>
      <w:r w:rsidR="00E53E7D" w:rsidRPr="00244497">
        <w:rPr>
          <w:rFonts w:ascii="Times New Roman" w:hAnsi="Times New Roman" w:cs="Times New Roman"/>
          <w:sz w:val="24"/>
          <w:szCs w:val="24"/>
        </w:rPr>
        <w:t xml:space="preserve">menetapkan sejumlah indikator </w:t>
      </w:r>
      <w:r w:rsidR="00AA599F" w:rsidRPr="00244497">
        <w:rPr>
          <w:rFonts w:ascii="Times New Roman" w:hAnsi="Times New Roman" w:cs="Times New Roman"/>
          <w:sz w:val="24"/>
          <w:szCs w:val="24"/>
        </w:rPr>
        <w:t>dan baku yang berlaku nasional. Beberapa indikator yang penulis usulkan antara lain:</w:t>
      </w:r>
    </w:p>
    <w:p w:rsidR="00AA599F" w:rsidRDefault="00AA599F" w:rsidP="00244497">
      <w:pPr>
        <w:pStyle w:val="ListParagraph"/>
        <w:numPr>
          <w:ilvl w:val="0"/>
          <w:numId w:val="3"/>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Jumlah supervisi</w:t>
      </w:r>
      <w:r w:rsidR="00D319D8">
        <w:rPr>
          <w:rFonts w:ascii="Times New Roman" w:hAnsi="Times New Roman" w:cs="Times New Roman"/>
          <w:sz w:val="24"/>
          <w:szCs w:val="24"/>
        </w:rPr>
        <w:t xml:space="preserve"> </w:t>
      </w:r>
      <w:r w:rsidRPr="00244497">
        <w:rPr>
          <w:rFonts w:ascii="Times New Roman" w:hAnsi="Times New Roman" w:cs="Times New Roman"/>
          <w:sz w:val="24"/>
          <w:szCs w:val="24"/>
        </w:rPr>
        <w:t xml:space="preserve">yang dilakukan guru </w:t>
      </w:r>
      <w:r w:rsidR="00D319D8">
        <w:rPr>
          <w:rFonts w:ascii="Times New Roman" w:hAnsi="Times New Roman" w:cs="Times New Roman"/>
          <w:sz w:val="24"/>
          <w:szCs w:val="24"/>
        </w:rPr>
        <w:t xml:space="preserve">sesuai divisi </w:t>
      </w:r>
      <w:r w:rsidRPr="00244497">
        <w:rPr>
          <w:rFonts w:ascii="Times New Roman" w:hAnsi="Times New Roman" w:cs="Times New Roman"/>
          <w:sz w:val="24"/>
          <w:szCs w:val="24"/>
        </w:rPr>
        <w:t>per semester</w:t>
      </w:r>
    </w:p>
    <w:p w:rsidR="00D319D8" w:rsidRPr="00244497" w:rsidRDefault="00D319D8" w:rsidP="0024449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Jumlah kunjungan bersama </w:t>
      </w:r>
      <w:r w:rsidR="00C54022">
        <w:rPr>
          <w:rFonts w:ascii="Times New Roman" w:hAnsi="Times New Roman" w:cs="Times New Roman"/>
          <w:sz w:val="24"/>
          <w:szCs w:val="24"/>
        </w:rPr>
        <w:t xml:space="preserve">guru dan </w:t>
      </w:r>
      <w:r>
        <w:rPr>
          <w:rFonts w:ascii="Times New Roman" w:hAnsi="Times New Roman" w:cs="Times New Roman"/>
          <w:sz w:val="24"/>
          <w:szCs w:val="24"/>
        </w:rPr>
        <w:t>peserta PPDS ke pasien (visite bila di rawat inap, pendampingan bila di rawat jalan dan luar rumah sakit) di hari dan jam kerja, dibandingkan dengan jumlah hari kerja pasien dirawat</w:t>
      </w:r>
      <w:r w:rsidR="00092B51">
        <w:rPr>
          <w:rFonts w:ascii="Times New Roman" w:hAnsi="Times New Roman" w:cs="Times New Roman"/>
          <w:sz w:val="24"/>
          <w:szCs w:val="24"/>
        </w:rPr>
        <w:t>/datang</w:t>
      </w:r>
      <w:r>
        <w:rPr>
          <w:rFonts w:ascii="Times New Roman" w:hAnsi="Times New Roman" w:cs="Times New Roman"/>
          <w:sz w:val="24"/>
          <w:szCs w:val="24"/>
        </w:rPr>
        <w:t xml:space="preserve"> per bulan</w:t>
      </w:r>
    </w:p>
    <w:p w:rsidR="00AA599F" w:rsidRPr="00244497" w:rsidRDefault="00AA599F" w:rsidP="00244497">
      <w:pPr>
        <w:pStyle w:val="ListParagraph"/>
        <w:numPr>
          <w:ilvl w:val="0"/>
          <w:numId w:val="3"/>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 xml:space="preserve">Jumlah beban ajar yang terpenuhi guru </w:t>
      </w:r>
      <w:r w:rsidR="00117A7E">
        <w:rPr>
          <w:rFonts w:ascii="Times New Roman" w:hAnsi="Times New Roman" w:cs="Times New Roman"/>
          <w:sz w:val="24"/>
          <w:szCs w:val="24"/>
        </w:rPr>
        <w:t xml:space="preserve">dibanding beban ajar yang disepakati dalam komitmen </w:t>
      </w:r>
      <w:r w:rsidRPr="00244497">
        <w:rPr>
          <w:rFonts w:ascii="Times New Roman" w:hAnsi="Times New Roman" w:cs="Times New Roman"/>
          <w:sz w:val="24"/>
          <w:szCs w:val="24"/>
        </w:rPr>
        <w:t>per semester</w:t>
      </w:r>
    </w:p>
    <w:p w:rsidR="00E50D23" w:rsidRDefault="00E50D23" w:rsidP="00244497">
      <w:pPr>
        <w:pStyle w:val="ListParagraph"/>
        <w:numPr>
          <w:ilvl w:val="0"/>
          <w:numId w:val="3"/>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Jumlah konsultasi dan bimbingan akademik per peserta PPDS per semester</w:t>
      </w:r>
    </w:p>
    <w:p w:rsidR="00A56EBE" w:rsidRPr="00244497" w:rsidRDefault="00A56EBE" w:rsidP="0024449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Jumlah bimbingan proposal penelitian per peserta PPDS per semester</w:t>
      </w:r>
    </w:p>
    <w:p w:rsidR="00AA599F" w:rsidRDefault="00AA599F" w:rsidP="00244497">
      <w:pPr>
        <w:pStyle w:val="ListParagraph"/>
        <w:numPr>
          <w:ilvl w:val="0"/>
          <w:numId w:val="3"/>
        </w:numPr>
        <w:spacing w:after="0" w:line="360" w:lineRule="auto"/>
        <w:jc w:val="both"/>
        <w:rPr>
          <w:rFonts w:ascii="Times New Roman" w:hAnsi="Times New Roman" w:cs="Times New Roman"/>
          <w:sz w:val="24"/>
          <w:szCs w:val="24"/>
        </w:rPr>
      </w:pPr>
      <w:r w:rsidRPr="00244497">
        <w:rPr>
          <w:rFonts w:ascii="Times New Roman" w:hAnsi="Times New Roman" w:cs="Times New Roman"/>
          <w:sz w:val="24"/>
          <w:szCs w:val="24"/>
        </w:rPr>
        <w:t xml:space="preserve">Kejadian-kejadian yang tidak diinginkan (seperti </w:t>
      </w:r>
      <w:r w:rsidR="00724D26" w:rsidRPr="00244497">
        <w:rPr>
          <w:rFonts w:ascii="Times New Roman" w:hAnsi="Times New Roman" w:cs="Times New Roman"/>
          <w:sz w:val="24"/>
          <w:szCs w:val="24"/>
        </w:rPr>
        <w:t>pelaksanaan kuliah akumulatif [beberapa pertemuan dipadatkan dalam satu kali tatap muka]</w:t>
      </w:r>
      <w:r w:rsidR="00724D26">
        <w:rPr>
          <w:rFonts w:ascii="Times New Roman" w:hAnsi="Times New Roman" w:cs="Times New Roman"/>
          <w:sz w:val="24"/>
          <w:szCs w:val="24"/>
        </w:rPr>
        <w:t xml:space="preserve">, penambahan beban tidak sesuai kurikulum berupa </w:t>
      </w:r>
      <w:r w:rsidRPr="00244497">
        <w:rPr>
          <w:rFonts w:ascii="Times New Roman" w:hAnsi="Times New Roman" w:cs="Times New Roman"/>
          <w:sz w:val="24"/>
          <w:szCs w:val="24"/>
        </w:rPr>
        <w:t>penambahan tugas di luar jadwal yang disepakati</w:t>
      </w:r>
      <w:r w:rsidR="00724D26" w:rsidRPr="00724D26">
        <w:rPr>
          <w:rFonts w:ascii="Times New Roman" w:hAnsi="Times New Roman" w:cs="Times New Roman"/>
          <w:sz w:val="24"/>
          <w:szCs w:val="24"/>
        </w:rPr>
        <w:t xml:space="preserve"> </w:t>
      </w:r>
      <w:r w:rsidR="00724D26">
        <w:rPr>
          <w:rFonts w:ascii="Times New Roman" w:hAnsi="Times New Roman" w:cs="Times New Roman"/>
          <w:sz w:val="24"/>
          <w:szCs w:val="24"/>
        </w:rPr>
        <w:lastRenderedPageBreak/>
        <w:t>atau peserta PPDS dijadikan pengambil data penelitian guru tanpa sepengetahuan peserta yang dimaksud</w:t>
      </w:r>
      <w:r w:rsidRPr="00244497">
        <w:rPr>
          <w:rFonts w:ascii="Times New Roman" w:hAnsi="Times New Roman" w:cs="Times New Roman"/>
          <w:sz w:val="24"/>
          <w:szCs w:val="24"/>
        </w:rPr>
        <w:t>)</w:t>
      </w:r>
    </w:p>
    <w:p w:rsidR="007D002B" w:rsidRPr="00244497" w:rsidRDefault="007D002B" w:rsidP="0024449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Peran tambahan seperti konseling atau psikoterapi bagi peserta PPDS </w:t>
      </w:r>
      <w:r w:rsidR="00663C7E">
        <w:rPr>
          <w:rFonts w:ascii="Times New Roman" w:hAnsi="Times New Roman" w:cs="Times New Roman"/>
          <w:sz w:val="24"/>
          <w:szCs w:val="24"/>
        </w:rPr>
        <w:t xml:space="preserve">mana pun </w:t>
      </w:r>
      <w:r>
        <w:rPr>
          <w:rFonts w:ascii="Times New Roman" w:hAnsi="Times New Roman" w:cs="Times New Roman"/>
          <w:sz w:val="24"/>
          <w:szCs w:val="24"/>
        </w:rPr>
        <w:t>per semester</w:t>
      </w:r>
      <w:r w:rsidR="00DE6C0A">
        <w:rPr>
          <w:rFonts w:ascii="Times New Roman" w:hAnsi="Times New Roman" w:cs="Times New Roman"/>
          <w:sz w:val="24"/>
          <w:szCs w:val="24"/>
        </w:rPr>
        <w:t xml:space="preserve">, </w:t>
      </w:r>
      <w:r w:rsidR="00663C7E">
        <w:rPr>
          <w:rFonts w:ascii="Times New Roman" w:hAnsi="Times New Roman" w:cs="Times New Roman"/>
          <w:sz w:val="24"/>
          <w:szCs w:val="24"/>
        </w:rPr>
        <w:t xml:space="preserve">atau </w:t>
      </w:r>
      <w:r w:rsidR="00DE6C0A">
        <w:rPr>
          <w:rFonts w:ascii="Times New Roman" w:hAnsi="Times New Roman" w:cs="Times New Roman"/>
          <w:sz w:val="24"/>
          <w:szCs w:val="24"/>
        </w:rPr>
        <w:t>beban ajar untuk PPDS non psikiatri (seperti mengajar psikoterapi bagi PPDS penyakit dalam khususnya geriatri dan psikosomatis)</w:t>
      </w:r>
    </w:p>
    <w:p w:rsidR="00D237B7" w:rsidRPr="00244497" w:rsidRDefault="00E50D23" w:rsidP="00244497">
      <w:pPr>
        <w:spacing w:after="0" w:line="360" w:lineRule="auto"/>
        <w:ind w:firstLine="720"/>
        <w:jc w:val="both"/>
        <w:rPr>
          <w:rFonts w:ascii="Times New Roman" w:hAnsi="Times New Roman" w:cs="Times New Roman"/>
          <w:sz w:val="24"/>
          <w:szCs w:val="24"/>
        </w:rPr>
      </w:pPr>
      <w:r w:rsidRPr="00244497">
        <w:rPr>
          <w:rFonts w:ascii="Times New Roman" w:hAnsi="Times New Roman" w:cs="Times New Roman"/>
          <w:sz w:val="24"/>
          <w:szCs w:val="24"/>
        </w:rPr>
        <w:t>Indikator lain dapat ditambahkan sesuai dengan kebutuhan dan akan disepakati bersama dalam pertemuan selanjutnya dalam bentuk penyempurnaan yang berkesinambungan.</w:t>
      </w:r>
    </w:p>
    <w:p w:rsidR="00537500" w:rsidRPr="00244497" w:rsidRDefault="00537500" w:rsidP="00244497">
      <w:pPr>
        <w:spacing w:after="0" w:line="360" w:lineRule="auto"/>
        <w:jc w:val="both"/>
        <w:rPr>
          <w:rFonts w:ascii="Times New Roman" w:hAnsi="Times New Roman" w:cs="Times New Roman"/>
          <w:sz w:val="24"/>
          <w:szCs w:val="24"/>
        </w:rPr>
      </w:pPr>
    </w:p>
    <w:p w:rsidR="00445B15" w:rsidRDefault="00445B15">
      <w:pPr>
        <w:rPr>
          <w:rFonts w:ascii="Times New Roman" w:hAnsi="Times New Roman" w:cs="Times New Roman"/>
          <w:sz w:val="24"/>
          <w:szCs w:val="24"/>
        </w:rPr>
      </w:pPr>
      <w:r>
        <w:rPr>
          <w:rFonts w:ascii="Times New Roman" w:hAnsi="Times New Roman" w:cs="Times New Roman"/>
          <w:sz w:val="24"/>
          <w:szCs w:val="24"/>
        </w:rPr>
        <w:br w:type="page"/>
      </w:r>
    </w:p>
    <w:p w:rsidR="00D237B7" w:rsidRPr="00244497" w:rsidRDefault="00445B15" w:rsidP="00244497">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Algoritme</w:t>
      </w:r>
      <w:r w:rsidR="00D237B7" w:rsidRPr="00244497">
        <w:rPr>
          <w:rFonts w:ascii="Times New Roman" w:hAnsi="Times New Roman" w:cs="Times New Roman"/>
          <w:sz w:val="24"/>
          <w:szCs w:val="24"/>
        </w:rPr>
        <w:t xml:space="preserve"> Masalah</w:t>
      </w:r>
    </w:p>
    <w:p w:rsidR="00D237B7" w:rsidRPr="00244497" w:rsidRDefault="001566D6" w:rsidP="00244497">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group id="_x0000_s1087" style="position:absolute;left:0;text-align:left;margin-left:33.9pt;margin-top:9.4pt;width:373.25pt;height:76.55pt;z-index:251726848" coordorigin="2118,4191" coordsize="7465,1531">
            <v:rect id="_x0000_s1046" style="position:absolute;left:7668;top:4191;width:1915;height:1052">
              <v:textbox style="mso-next-textbox:#_x0000_s1046">
                <w:txbxContent>
                  <w:p w:rsidR="00445B15" w:rsidRPr="00AE1EF6" w:rsidRDefault="00AE1EF6" w:rsidP="00AE1EF6">
                    <w:pPr>
                      <w:jc w:val="center"/>
                    </w:pPr>
                    <w:r>
                      <w:t>Kecintaan Ilmiah Menurun</w:t>
                    </w:r>
                  </w:p>
                </w:txbxContent>
              </v:textbox>
            </v:rect>
            <v:rect id="_x0000_s1049" style="position:absolute;left:2118;top:4191;width:1915;height:1052">
              <v:textbox style="mso-next-textbox:#_x0000_s1049">
                <w:txbxContent>
                  <w:p w:rsidR="00445B15" w:rsidRDefault="0050215B" w:rsidP="00445B15">
                    <w:pPr>
                      <w:jc w:val="center"/>
                    </w:pPr>
                    <w:r>
                      <w:t>Minat Belajar Kurang</w:t>
                    </w:r>
                  </w:p>
                </w:txbxContent>
              </v:textbox>
            </v:rect>
            <v:rect id="_x0000_s1054" style="position:absolute;left:4825;top:4191;width:1915;height:1052">
              <v:textbox style="mso-next-textbox:#_x0000_s1054">
                <w:txbxContent>
                  <w:p w:rsidR="00AE1EF6" w:rsidRDefault="0050215B" w:rsidP="00AE1EF6">
                    <w:pPr>
                      <w:jc w:val="center"/>
                    </w:pPr>
                    <w:r>
                      <w:t>Kedalaman Kompetensi Kurang</w:t>
                    </w:r>
                  </w:p>
                </w:txbxContent>
              </v:textbox>
            </v:rect>
            <v:shape id="_x0000_s1079" type="#_x0000_t32" style="position:absolute;left:3030;top:5707;width:5618;height:15;flip:y" o:connectortype="straight"/>
            <v:shape id="_x0000_s1080" type="#_x0000_t32" style="position:absolute;left:3030;top:5257;width:0;height:465;flip:y" o:connectortype="straight">
              <v:stroke endarrow="block"/>
            </v:shape>
            <v:shape id="_x0000_s1081" type="#_x0000_t32" style="position:absolute;left:5835;top:5243;width:0;height:465;flip:y" o:connectortype="straight">
              <v:stroke endarrow="block"/>
            </v:shape>
            <v:shape id="_x0000_s1085" type="#_x0000_t32" style="position:absolute;left:8648;top:5243;width:0;height:465;flip:y" o:connectortype="straight">
              <v:stroke endarrow="block"/>
            </v:shape>
          </v:group>
        </w:pict>
      </w:r>
    </w:p>
    <w:p w:rsidR="00D237B7" w:rsidRPr="00244497" w:rsidRDefault="001566D6" w:rsidP="00244497">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shape id="_x0000_s1098" type="#_x0000_t32" style="position:absolute;left:0;text-align:left;margin-left:129.4pt;margin-top:15.55pt;width:39.85pt;height:0;z-index:251732992" o:connectortype="straight">
            <v:stroke dashstyle="longDash" endarrow="block"/>
          </v:shape>
        </w:pict>
      </w:r>
      <w:r>
        <w:rPr>
          <w:rFonts w:ascii="Times New Roman" w:hAnsi="Times New Roman" w:cs="Times New Roman"/>
          <w:noProof/>
          <w:sz w:val="24"/>
          <w:szCs w:val="24"/>
          <w:lang w:eastAsia="en-GB"/>
        </w:rPr>
        <w:pict>
          <v:shape id="_x0000_s1091" type="#_x0000_t32" style="position:absolute;left:0;text-align:left;margin-left:265pt;margin-top:15.55pt;width:46.4pt;height:0;z-index:251727872" o:connectortype="straight">
            <v:stroke dashstyle="longDash" endarrow="block"/>
          </v:shape>
        </w:pict>
      </w:r>
    </w:p>
    <w:p w:rsidR="00D237B7" w:rsidRPr="00244497" w:rsidRDefault="00D237B7" w:rsidP="00244497">
      <w:pPr>
        <w:spacing w:after="0" w:line="360" w:lineRule="auto"/>
        <w:jc w:val="both"/>
        <w:rPr>
          <w:rFonts w:ascii="Times New Roman" w:hAnsi="Times New Roman" w:cs="Times New Roman"/>
          <w:sz w:val="24"/>
          <w:szCs w:val="24"/>
        </w:rPr>
      </w:pPr>
    </w:p>
    <w:p w:rsidR="00D237B7" w:rsidRPr="00244497" w:rsidRDefault="001566D6" w:rsidP="00244497">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shape id="_x0000_s1092" type="#_x0000_t32" style="position:absolute;left:0;text-align:left;margin-left:378.25pt;margin-top:.6pt;width:0;height:75.65pt;z-index:251728896" o:connectortype="straight">
            <v:stroke dashstyle="longDash"/>
          </v:shape>
        </w:pict>
      </w:r>
    </w:p>
    <w:p w:rsidR="00D237B7" w:rsidRPr="00244497" w:rsidRDefault="001566D6" w:rsidP="00244497">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group id="_x0000_s1088" style="position:absolute;left:0;text-align:left;margin-left:102.4pt;margin-top:2.4pt;width:236.65pt;height:77.55pt;z-index:251723264" coordorigin="3488,5722" coordsize="4733,1551">
            <v:rect id="_x0000_s1047" style="position:absolute;left:3488;top:6221;width:1915;height:1052">
              <v:textbox style="mso-next-textbox:#_x0000_s1047">
                <w:txbxContent>
                  <w:p w:rsidR="00445B15" w:rsidRDefault="00445B15" w:rsidP="00445B15">
                    <w:pPr>
                      <w:jc w:val="center"/>
                    </w:pPr>
                    <w:r>
                      <w:t>Waktu Supervisi Kurang</w:t>
                    </w:r>
                  </w:p>
                </w:txbxContent>
              </v:textbox>
            </v:rect>
            <v:rect id="_x0000_s1048" style="position:absolute;left:6306;top:6221;width:1915;height:1052">
              <v:textbox style="mso-next-textbox:#_x0000_s1048">
                <w:txbxContent>
                  <w:p w:rsidR="00445B15" w:rsidRDefault="00445B15" w:rsidP="00445B15">
                    <w:pPr>
                      <w:jc w:val="center"/>
                    </w:pPr>
                    <w:r>
                      <w:t>Minat Mengajar Kurang</w:t>
                    </w:r>
                  </w:p>
                </w:txbxContent>
              </v:textbox>
            </v:rect>
            <v:shape id="_x0000_s1078" type="#_x0000_t32" style="position:absolute;left:4426;top:5722;width:0;height:495" o:connectortype="straight"/>
            <v:shape id="_x0000_s1082" type="#_x0000_t32" style="position:absolute;left:7245;top:5726;width:0;height:495" o:connectortype="straight"/>
          </v:group>
        </w:pict>
      </w:r>
    </w:p>
    <w:p w:rsidR="008061F8" w:rsidRDefault="001566D6" w:rsidP="00244497">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shape id="_x0000_s1096" type="#_x0000_t32" style="position:absolute;left:0;text-align:left;margin-left:268.55pt;margin-top:134.25pt;width:54.9pt;height:.05pt;flip:x;z-index:251730944" o:connectortype="straight">
            <v:stroke dashstyle="longDash" endarrow="block"/>
          </v:shape>
        </w:pict>
      </w:r>
      <w:r>
        <w:rPr>
          <w:rFonts w:ascii="Times New Roman" w:hAnsi="Times New Roman" w:cs="Times New Roman"/>
          <w:noProof/>
          <w:sz w:val="24"/>
          <w:szCs w:val="24"/>
          <w:lang w:eastAsia="en-GB"/>
        </w:rPr>
        <w:pict>
          <v:shape id="_x0000_s1097" type="#_x0000_t32" style="position:absolute;left:0;text-align:left;margin-left:323.45pt;margin-top:59.25pt;width:0;height:75pt;z-index:251731968" o:connectortype="straight">
            <v:stroke dashstyle="longDash"/>
          </v:shape>
        </w:pict>
      </w:r>
      <w:r>
        <w:rPr>
          <w:rFonts w:ascii="Times New Roman" w:hAnsi="Times New Roman" w:cs="Times New Roman"/>
          <w:noProof/>
          <w:sz w:val="24"/>
          <w:szCs w:val="24"/>
          <w:lang w:eastAsia="en-GB"/>
        </w:rPr>
        <w:pict>
          <v:shape id="_x0000_s1093" type="#_x0000_t32" style="position:absolute;left:0;text-align:left;margin-left:339.05pt;margin-top:34.85pt;width:39.2pt;height:0;flip:x;z-index:251729920" o:connectortype="straight">
            <v:stroke dashstyle="longDash" endarrow="block"/>
          </v:shape>
        </w:pict>
      </w:r>
      <w:r>
        <w:rPr>
          <w:rFonts w:ascii="Times New Roman" w:hAnsi="Times New Roman" w:cs="Times New Roman"/>
          <w:noProof/>
          <w:sz w:val="24"/>
          <w:szCs w:val="24"/>
          <w:lang w:eastAsia="en-GB"/>
        </w:rPr>
        <w:pict>
          <v:group id="_x0000_s1072" style="position:absolute;left:0;text-align:left;margin-left:243.3pt;margin-top:211.45pt;width:163.85pt;height:189.75pt;z-index:251705344" coordorigin="6306,8190" coordsize="3277,3795">
            <v:rect id="_x0000_s1051" style="position:absolute;left:7668;top:10590;width:1915;height:1395" o:regroupid="1">
              <v:textbox style="mso-next-textbox:#_x0000_s1051">
                <w:txbxContent>
                  <w:p w:rsidR="00445B15" w:rsidRDefault="00445B15" w:rsidP="00445B15">
                    <w:pPr>
                      <w:jc w:val="center"/>
                    </w:pPr>
                    <w:r>
                      <w:t>Perbandingan Beban Ajar dan Tugas non Akademik rendah</w:t>
                    </w:r>
                  </w:p>
                </w:txbxContent>
              </v:textbox>
            </v:rect>
            <v:rect id="_x0000_s1053" style="position:absolute;left:6306;top:8190;width:1915;height:1395" o:regroupid="1">
              <v:textbox style="mso-next-textbox:#_x0000_s1053">
                <w:txbxContent>
                  <w:p w:rsidR="00445B15" w:rsidRDefault="00445B15" w:rsidP="00445B15">
                    <w:pPr>
                      <w:jc w:val="center"/>
                    </w:pPr>
                    <w:r>
                      <w:t>Perbandingan Iklim Pendidikan dan Pelayanan Tidak Seimbang</w:t>
                    </w:r>
                  </w:p>
                </w:txbxContent>
              </v:textbox>
            </v:rect>
            <v:shape id="_x0000_s1061" type="#_x0000_t32" style="position:absolute;left:8551;top:10050;width:0;height:540" o:connectortype="straight" o:regroupid="1"/>
            <v:shape id="_x0000_s1064" type="#_x0000_t32" style="position:absolute;left:7278;top:9585;width:0;height:465;flip:y" o:connectortype="straight" o:regroupid="1">
              <v:stroke endarrow="block"/>
            </v:shape>
            <v:shape id="_x0000_s1065" type="#_x0000_t32" style="position:absolute;left:7278;top:10065;width:1273;height:1" o:connectortype="straight" o:regroupid="1"/>
          </v:group>
        </w:pict>
      </w:r>
      <w:r>
        <w:rPr>
          <w:rFonts w:ascii="Times New Roman" w:hAnsi="Times New Roman" w:cs="Times New Roman"/>
          <w:noProof/>
          <w:sz w:val="24"/>
          <w:szCs w:val="24"/>
          <w:lang w:eastAsia="en-GB"/>
        </w:rPr>
        <w:pict>
          <v:group id="_x0000_s1070" style="position:absolute;left:0;text-align:left;margin-left:33.9pt;margin-top:211.45pt;width:234.65pt;height:189.75pt;z-index:251689472" coordorigin="2118,7770" coordsize="4693,3795">
            <v:rect id="_x0000_s1050" style="position:absolute;left:4896;top:10170;width:1915;height:1395">
              <v:textbox style="mso-next-textbox:#_x0000_s1050">
                <w:txbxContent>
                  <w:p w:rsidR="00445B15" w:rsidRDefault="00445B15" w:rsidP="00445B15">
                    <w:pPr>
                      <w:jc w:val="center"/>
                    </w:pPr>
                    <w:r>
                      <w:t>Perbandingan Beban Ajar dan Jumlah Guru Rendah</w:t>
                    </w:r>
                  </w:p>
                </w:txbxContent>
              </v:textbox>
            </v:rect>
            <v:rect id="_x0000_s1055" style="position:absolute;left:3488;top:7770;width:1915;height:1395">
              <v:textbox style="mso-next-textbox:#_x0000_s1055">
                <w:txbxContent>
                  <w:p w:rsidR="00445B15" w:rsidRPr="00445B15" w:rsidRDefault="00445B15" w:rsidP="00445B15">
                    <w:pPr>
                      <w:jc w:val="center"/>
                    </w:pPr>
                    <w:r>
                      <w:t>Kurikulum Tidak Sesuai Beban Ajar dan Kompetensi Yang Diharapkan</w:t>
                    </w:r>
                  </w:p>
                </w:txbxContent>
              </v:textbox>
            </v:rect>
            <v:rect id="_x0000_s1056" style="position:absolute;left:2118;top:10170;width:1915;height:1395">
              <v:textbox style="mso-next-textbox:#_x0000_s1056">
                <w:txbxContent>
                  <w:p w:rsidR="00663C7E" w:rsidRPr="00445B15" w:rsidRDefault="00663C7E" w:rsidP="00445B15">
                    <w:pPr>
                      <w:jc w:val="center"/>
                    </w:pPr>
                    <w:r>
                      <w:t>Tuntutan Kurikulum Tinggi</w:t>
                    </w:r>
                  </w:p>
                </w:txbxContent>
              </v:textbox>
            </v:rect>
            <v:shape id="_x0000_s1057" type="#_x0000_t32" style="position:absolute;left:3030;top:9630;width:2805;height:15;flip:y" o:connectortype="straight"/>
            <v:shape id="_x0000_s1058" type="#_x0000_t32" style="position:absolute;left:4440;top:9165;width:0;height:465;flip:y" o:connectortype="straight">
              <v:stroke endarrow="block"/>
            </v:shape>
            <v:shape id="_x0000_s1059" type="#_x0000_t32" style="position:absolute;left:3030;top:9645;width:0;height:525" o:connectortype="straight"/>
            <v:shape id="_x0000_s1060" type="#_x0000_t32" style="position:absolute;left:5835;top:9630;width:0;height:540" o:connectortype="straight"/>
          </v:group>
        </w:pict>
      </w:r>
      <w:r>
        <w:rPr>
          <w:rFonts w:ascii="Times New Roman" w:hAnsi="Times New Roman" w:cs="Times New Roman"/>
          <w:noProof/>
          <w:sz w:val="24"/>
          <w:szCs w:val="24"/>
          <w:lang w:eastAsia="en-GB"/>
        </w:rPr>
        <w:pict>
          <v:group id="_x0000_s1089" style="position:absolute;left:0;text-align:left;margin-left:150pt;margin-top:59.25pt;width:140.25pt;height:152.2pt;z-index:251714304" coordorigin="4440,7273" coordsize="2805,3044">
            <v:rect id="_x0000_s1052" style="position:absolute;left:4896;top:8260;width:1915;height:1052" o:regroupid="1">
              <v:textbox style="mso-next-textbox:#_x0000_s1052">
                <w:txbxContent>
                  <w:p w:rsidR="00445B15" w:rsidRPr="00445B15" w:rsidRDefault="00445B15" w:rsidP="00445B15">
                    <w:pPr>
                      <w:jc w:val="center"/>
                    </w:pPr>
                    <w:r>
                      <w:t xml:space="preserve">Jumlah Guru </w:t>
                    </w:r>
                    <w:r w:rsidR="00245471">
                      <w:t xml:space="preserve">Relatif </w:t>
                    </w:r>
                    <w:r>
                      <w:t>Kurang</w:t>
                    </w:r>
                  </w:p>
                </w:txbxContent>
              </v:textbox>
            </v:rect>
            <v:shape id="_x0000_s1066" type="#_x0000_t32" style="position:absolute;left:4440;top:9777;width:2805;height:15;flip:y" o:connectortype="straight" o:regroupid="1"/>
            <v:shape id="_x0000_s1067" type="#_x0000_t32" style="position:absolute;left:5850;top:9312;width:0;height:465;flip:y" o:connectortype="straight" o:regroupid="1">
              <v:stroke endarrow="block"/>
            </v:shape>
            <v:shape id="_x0000_s1068" type="#_x0000_t32" style="position:absolute;left:4440;top:9792;width:0;height:525" o:connectortype="straight" o:regroupid="1"/>
            <v:shape id="_x0000_s1069" type="#_x0000_t32" style="position:absolute;left:7245;top:9777;width:0;height:540" o:connectortype="straight" o:regroupid="1"/>
            <v:shape id="_x0000_s1073" type="#_x0000_t32" style="position:absolute;left:5835;top:7752;width:1;height:495" o:connectortype="straight" o:regroupid="1"/>
            <v:shape id="_x0000_s1074" type="#_x0000_t32" style="position:absolute;left:4440;top:7737;width:2805;height:15;flip:y" o:connectortype="straight" o:regroupid="1"/>
            <v:shape id="_x0000_s1075" type="#_x0000_t32" style="position:absolute;left:4440;top:7287;width:0;height:465;flip:y" o:connectortype="straight" o:regroupid="1">
              <v:stroke endarrow="block"/>
            </v:shape>
            <v:shape id="_x0000_s1076" type="#_x0000_t32" style="position:absolute;left:7245;top:7273;width:0;height:465;flip:y" o:connectortype="straight" o:regroupid="1">
              <v:stroke endarrow="block"/>
            </v:shape>
          </v:group>
        </w:pict>
      </w:r>
    </w:p>
    <w:p w:rsidR="008061F8" w:rsidRDefault="008061F8">
      <w:pPr>
        <w:rPr>
          <w:rFonts w:ascii="Times New Roman" w:hAnsi="Times New Roman" w:cs="Times New Roman"/>
          <w:sz w:val="24"/>
          <w:szCs w:val="24"/>
        </w:rPr>
      </w:pPr>
    </w:p>
    <w:sectPr w:rsidR="008061F8" w:rsidSect="008061F8">
      <w:headerReference w:type="default" r:id="rId9"/>
      <w:footerReference w:type="default" r:id="rId10"/>
      <w:pgSz w:w="11906" w:h="16838"/>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EEE" w:rsidRDefault="007B7EEE" w:rsidP="008061F8">
      <w:pPr>
        <w:spacing w:after="0" w:line="240" w:lineRule="auto"/>
      </w:pPr>
      <w:r>
        <w:separator/>
      </w:r>
    </w:p>
  </w:endnote>
  <w:endnote w:type="continuationSeparator" w:id="1">
    <w:p w:rsidR="007B7EEE" w:rsidRDefault="007B7EEE" w:rsidP="008061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Mincho">
    <w:panose1 w:val="02020600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1F8" w:rsidRDefault="008061F8">
    <w:pPr>
      <w:pStyle w:val="Footer"/>
      <w:jc w:val="right"/>
    </w:pPr>
  </w:p>
  <w:p w:rsidR="008061F8" w:rsidRDefault="008061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117"/>
      <w:docPartObj>
        <w:docPartGallery w:val="Page Numbers (Bottom of Page)"/>
        <w:docPartUnique/>
      </w:docPartObj>
    </w:sdtPr>
    <w:sdtContent>
      <w:p w:rsidR="008061F8" w:rsidRDefault="008061F8">
        <w:pPr>
          <w:pStyle w:val="Footer"/>
          <w:jc w:val="right"/>
        </w:pPr>
        <w:fldSimple w:instr=" PAGE   \* MERGEFORMAT ">
          <w:r w:rsidR="00E36975">
            <w:rPr>
              <w:noProof/>
            </w:rPr>
            <w:t>3</w:t>
          </w:r>
        </w:fldSimple>
      </w:p>
    </w:sdtContent>
  </w:sdt>
  <w:p w:rsidR="008061F8" w:rsidRDefault="008061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EEE" w:rsidRDefault="007B7EEE" w:rsidP="008061F8">
      <w:pPr>
        <w:spacing w:after="0" w:line="240" w:lineRule="auto"/>
      </w:pPr>
      <w:r>
        <w:separator/>
      </w:r>
    </w:p>
  </w:footnote>
  <w:footnote w:type="continuationSeparator" w:id="1">
    <w:p w:rsidR="007B7EEE" w:rsidRDefault="007B7EEE" w:rsidP="008061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1F8" w:rsidRDefault="008061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C6280"/>
    <w:multiLevelType w:val="hybridMultilevel"/>
    <w:tmpl w:val="3EA83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BCE288D"/>
    <w:multiLevelType w:val="hybridMultilevel"/>
    <w:tmpl w:val="DC60E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3117ACA"/>
    <w:multiLevelType w:val="hybridMultilevel"/>
    <w:tmpl w:val="E54AC6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6B184F2B"/>
    <w:multiLevelType w:val="hybridMultilevel"/>
    <w:tmpl w:val="8124DC16"/>
    <w:lvl w:ilvl="0" w:tplc="493CEB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D4990"/>
    <w:rsid w:val="000245E7"/>
    <w:rsid w:val="00027E8D"/>
    <w:rsid w:val="000315B8"/>
    <w:rsid w:val="0007089B"/>
    <w:rsid w:val="00092B51"/>
    <w:rsid w:val="000A0292"/>
    <w:rsid w:val="000A243F"/>
    <w:rsid w:val="000A48B9"/>
    <w:rsid w:val="000A5269"/>
    <w:rsid w:val="000B18B9"/>
    <w:rsid w:val="000C7B2A"/>
    <w:rsid w:val="000D23AF"/>
    <w:rsid w:val="000E6771"/>
    <w:rsid w:val="00117A7E"/>
    <w:rsid w:val="001261F5"/>
    <w:rsid w:val="00132AB5"/>
    <w:rsid w:val="00137676"/>
    <w:rsid w:val="001548BB"/>
    <w:rsid w:val="001566D6"/>
    <w:rsid w:val="00170BF2"/>
    <w:rsid w:val="00175560"/>
    <w:rsid w:val="0019445C"/>
    <w:rsid w:val="001D7500"/>
    <w:rsid w:val="001D7CB7"/>
    <w:rsid w:val="001F5379"/>
    <w:rsid w:val="002007B8"/>
    <w:rsid w:val="00224033"/>
    <w:rsid w:val="002336B8"/>
    <w:rsid w:val="00237AFC"/>
    <w:rsid w:val="00244497"/>
    <w:rsid w:val="00245471"/>
    <w:rsid w:val="002742FD"/>
    <w:rsid w:val="00280B4D"/>
    <w:rsid w:val="002A16FF"/>
    <w:rsid w:val="002C3814"/>
    <w:rsid w:val="002C6D46"/>
    <w:rsid w:val="002D0F1C"/>
    <w:rsid w:val="002E61E5"/>
    <w:rsid w:val="00300C82"/>
    <w:rsid w:val="003011FE"/>
    <w:rsid w:val="003145D8"/>
    <w:rsid w:val="003265F7"/>
    <w:rsid w:val="0034736C"/>
    <w:rsid w:val="00355032"/>
    <w:rsid w:val="00371712"/>
    <w:rsid w:val="003B2309"/>
    <w:rsid w:val="003D31C8"/>
    <w:rsid w:val="003E0980"/>
    <w:rsid w:val="003F3E99"/>
    <w:rsid w:val="003F6D8E"/>
    <w:rsid w:val="00416ACB"/>
    <w:rsid w:val="00445B15"/>
    <w:rsid w:val="00451509"/>
    <w:rsid w:val="004530A2"/>
    <w:rsid w:val="004758C7"/>
    <w:rsid w:val="00475A10"/>
    <w:rsid w:val="004A3DA3"/>
    <w:rsid w:val="004B3930"/>
    <w:rsid w:val="004E66BA"/>
    <w:rsid w:val="004F3F3B"/>
    <w:rsid w:val="0050215B"/>
    <w:rsid w:val="00523B14"/>
    <w:rsid w:val="00537500"/>
    <w:rsid w:val="00554832"/>
    <w:rsid w:val="00583614"/>
    <w:rsid w:val="00584607"/>
    <w:rsid w:val="005A0D9F"/>
    <w:rsid w:val="005A3BA0"/>
    <w:rsid w:val="005B6B00"/>
    <w:rsid w:val="005C6928"/>
    <w:rsid w:val="005C7941"/>
    <w:rsid w:val="005D7755"/>
    <w:rsid w:val="005E01D0"/>
    <w:rsid w:val="005F1087"/>
    <w:rsid w:val="005F6F79"/>
    <w:rsid w:val="00601E02"/>
    <w:rsid w:val="00605809"/>
    <w:rsid w:val="00634BE3"/>
    <w:rsid w:val="006522A5"/>
    <w:rsid w:val="006529B3"/>
    <w:rsid w:val="00663C7E"/>
    <w:rsid w:val="00667A51"/>
    <w:rsid w:val="00676B42"/>
    <w:rsid w:val="00677F8D"/>
    <w:rsid w:val="0068255C"/>
    <w:rsid w:val="00683F7E"/>
    <w:rsid w:val="006853E7"/>
    <w:rsid w:val="0068702B"/>
    <w:rsid w:val="006A3F0B"/>
    <w:rsid w:val="006B27F9"/>
    <w:rsid w:val="006B697B"/>
    <w:rsid w:val="006C2794"/>
    <w:rsid w:val="00724285"/>
    <w:rsid w:val="00724D26"/>
    <w:rsid w:val="00736E42"/>
    <w:rsid w:val="00763C32"/>
    <w:rsid w:val="00785E54"/>
    <w:rsid w:val="00792D02"/>
    <w:rsid w:val="007A2340"/>
    <w:rsid w:val="007B57D9"/>
    <w:rsid w:val="007B7EEE"/>
    <w:rsid w:val="007C7541"/>
    <w:rsid w:val="007D002B"/>
    <w:rsid w:val="007D49CD"/>
    <w:rsid w:val="007E2F53"/>
    <w:rsid w:val="007E7AB5"/>
    <w:rsid w:val="007F187B"/>
    <w:rsid w:val="007F6B61"/>
    <w:rsid w:val="007F72AF"/>
    <w:rsid w:val="007F7B88"/>
    <w:rsid w:val="00800459"/>
    <w:rsid w:val="008061F8"/>
    <w:rsid w:val="008074CB"/>
    <w:rsid w:val="0082494F"/>
    <w:rsid w:val="0082675F"/>
    <w:rsid w:val="00867C4B"/>
    <w:rsid w:val="008D13A8"/>
    <w:rsid w:val="008D349D"/>
    <w:rsid w:val="008E59AF"/>
    <w:rsid w:val="00906288"/>
    <w:rsid w:val="00920479"/>
    <w:rsid w:val="00934AA2"/>
    <w:rsid w:val="00945362"/>
    <w:rsid w:val="0096692F"/>
    <w:rsid w:val="00967BF0"/>
    <w:rsid w:val="00974067"/>
    <w:rsid w:val="009A0D5A"/>
    <w:rsid w:val="009B3220"/>
    <w:rsid w:val="009B64B5"/>
    <w:rsid w:val="009D1D9C"/>
    <w:rsid w:val="009D3E6E"/>
    <w:rsid w:val="009F7A12"/>
    <w:rsid w:val="00A150E1"/>
    <w:rsid w:val="00A27237"/>
    <w:rsid w:val="00A42B98"/>
    <w:rsid w:val="00A53D9E"/>
    <w:rsid w:val="00A54334"/>
    <w:rsid w:val="00A56EBE"/>
    <w:rsid w:val="00A74688"/>
    <w:rsid w:val="00A841A3"/>
    <w:rsid w:val="00A8564D"/>
    <w:rsid w:val="00A85EB2"/>
    <w:rsid w:val="00A9017B"/>
    <w:rsid w:val="00A93C3E"/>
    <w:rsid w:val="00AA599F"/>
    <w:rsid w:val="00AC2970"/>
    <w:rsid w:val="00AD363E"/>
    <w:rsid w:val="00AE1EF6"/>
    <w:rsid w:val="00AF1531"/>
    <w:rsid w:val="00B22D49"/>
    <w:rsid w:val="00B32489"/>
    <w:rsid w:val="00B43261"/>
    <w:rsid w:val="00B81DA9"/>
    <w:rsid w:val="00B83827"/>
    <w:rsid w:val="00BB37CF"/>
    <w:rsid w:val="00C43D71"/>
    <w:rsid w:val="00C54022"/>
    <w:rsid w:val="00C65167"/>
    <w:rsid w:val="00C66B10"/>
    <w:rsid w:val="00C74A71"/>
    <w:rsid w:val="00C75919"/>
    <w:rsid w:val="00C9704E"/>
    <w:rsid w:val="00CC1808"/>
    <w:rsid w:val="00CD5BF7"/>
    <w:rsid w:val="00CD736A"/>
    <w:rsid w:val="00CE0069"/>
    <w:rsid w:val="00CE1755"/>
    <w:rsid w:val="00CE41A0"/>
    <w:rsid w:val="00D15E8B"/>
    <w:rsid w:val="00D237B7"/>
    <w:rsid w:val="00D319D8"/>
    <w:rsid w:val="00D32253"/>
    <w:rsid w:val="00D814B3"/>
    <w:rsid w:val="00D91299"/>
    <w:rsid w:val="00DA63ED"/>
    <w:rsid w:val="00DC35F1"/>
    <w:rsid w:val="00DD1B21"/>
    <w:rsid w:val="00DE026B"/>
    <w:rsid w:val="00DE6C0A"/>
    <w:rsid w:val="00DF374F"/>
    <w:rsid w:val="00E00810"/>
    <w:rsid w:val="00E10A19"/>
    <w:rsid w:val="00E25132"/>
    <w:rsid w:val="00E34163"/>
    <w:rsid w:val="00E36975"/>
    <w:rsid w:val="00E50D23"/>
    <w:rsid w:val="00E53E7D"/>
    <w:rsid w:val="00EA24C8"/>
    <w:rsid w:val="00EB252F"/>
    <w:rsid w:val="00EC3ADA"/>
    <w:rsid w:val="00EC3B9A"/>
    <w:rsid w:val="00ED106C"/>
    <w:rsid w:val="00ED4990"/>
    <w:rsid w:val="00ED5C51"/>
    <w:rsid w:val="00EE5823"/>
    <w:rsid w:val="00F036B4"/>
    <w:rsid w:val="00F16BA0"/>
    <w:rsid w:val="00F2090C"/>
    <w:rsid w:val="00F537E2"/>
    <w:rsid w:val="00F642FC"/>
    <w:rsid w:val="00F820AB"/>
    <w:rsid w:val="00F96142"/>
    <w:rsid w:val="00FA38B3"/>
    <w:rsid w:val="00FB6726"/>
    <w:rsid w:val="00FC1A3D"/>
    <w:rsid w:val="00FD247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9" type="connector" idref="#_x0000_s1044"/>
        <o:r id="V:Rule40" type="connector" idref="#_x0000_s1098"/>
        <o:r id="V:Rule41" type="connector" idref="#_x0000_s1092"/>
        <o:r id="V:Rule42" type="connector" idref="#_x0000_s1033"/>
        <o:r id="V:Rule43" type="connector" idref="#_x0000_s1085"/>
        <o:r id="V:Rule44" type="connector" idref="#_x0000_s1065"/>
        <o:r id="V:Rule45" type="connector" idref="#_x0000_s1066"/>
        <o:r id="V:Rule46" type="connector" idref="#_x0000_s1040"/>
        <o:r id="V:Rule47" type="connector" idref="#_x0000_s1064"/>
        <o:r id="V:Rule48" type="connector" idref="#_x0000_s1074"/>
        <o:r id="V:Rule49" type="connector" idref="#_x0000_s1038"/>
        <o:r id="V:Rule50" type="connector" idref="#_x0000_s1076"/>
        <o:r id="V:Rule51" type="connector" idref="#_x0000_s1060"/>
        <o:r id="V:Rule52" type="connector" idref="#_x0000_s1039"/>
        <o:r id="V:Rule53" type="connector" idref="#_x0000_s1069"/>
        <o:r id="V:Rule54" type="connector" idref="#_x0000_s1068"/>
        <o:r id="V:Rule55" type="connector" idref="#_x0000_s1093"/>
        <o:r id="V:Rule56" type="connector" idref="#_x0000_s1081"/>
        <o:r id="V:Rule57" type="connector" idref="#_x0000_s1080"/>
        <o:r id="V:Rule58" type="connector" idref="#_x0000_s1036"/>
        <o:r id="V:Rule59" type="connector" idref="#_x0000_s1059"/>
        <o:r id="V:Rule60" type="connector" idref="#_x0000_s1035"/>
        <o:r id="V:Rule61" type="connector" idref="#_x0000_s1097"/>
        <o:r id="V:Rule62" type="connector" idref="#_x0000_s1073"/>
        <o:r id="V:Rule63" type="connector" idref="#_x0000_s1034"/>
        <o:r id="V:Rule64" type="connector" idref="#_x0000_s1057"/>
        <o:r id="V:Rule65" type="connector" idref="#_x0000_s1043"/>
        <o:r id="V:Rule66" type="connector" idref="#_x0000_s1075"/>
        <o:r id="V:Rule67" type="connector" idref="#_x0000_s1082"/>
        <o:r id="V:Rule68" type="connector" idref="#_x0000_s1042"/>
        <o:r id="V:Rule69" type="connector" idref="#_x0000_s1067"/>
        <o:r id="V:Rule70" type="connector" idref="#_x0000_s1078"/>
        <o:r id="V:Rule71" type="connector" idref="#_x0000_s1061"/>
        <o:r id="V:Rule72" type="connector" idref="#_x0000_s1096"/>
        <o:r id="V:Rule73" type="connector" idref="#_x0000_s1091"/>
        <o:r id="V:Rule74" type="connector" idref="#_x0000_s1045"/>
        <o:r id="V:Rule75" type="connector" idref="#_x0000_s1058"/>
        <o:r id="V:Rule76" type="connector" idref="#_x0000_s10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2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7B7"/>
    <w:pPr>
      <w:ind w:left="720"/>
      <w:contextualSpacing/>
    </w:pPr>
  </w:style>
  <w:style w:type="paragraph" w:styleId="BalloonText">
    <w:name w:val="Balloon Text"/>
    <w:basedOn w:val="Normal"/>
    <w:link w:val="BalloonTextChar"/>
    <w:uiPriority w:val="99"/>
    <w:semiHidden/>
    <w:unhideWhenUsed/>
    <w:rsid w:val="00027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8D"/>
    <w:rPr>
      <w:rFonts w:ascii="Tahoma" w:hAnsi="Tahoma" w:cs="Tahoma"/>
      <w:sz w:val="16"/>
      <w:szCs w:val="16"/>
    </w:rPr>
  </w:style>
  <w:style w:type="paragraph" w:styleId="Header">
    <w:name w:val="header"/>
    <w:basedOn w:val="Normal"/>
    <w:link w:val="HeaderChar"/>
    <w:uiPriority w:val="99"/>
    <w:semiHidden/>
    <w:unhideWhenUsed/>
    <w:rsid w:val="008061F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061F8"/>
  </w:style>
  <w:style w:type="paragraph" w:styleId="Footer">
    <w:name w:val="footer"/>
    <w:basedOn w:val="Normal"/>
    <w:link w:val="FooterChar"/>
    <w:uiPriority w:val="99"/>
    <w:unhideWhenUsed/>
    <w:rsid w:val="008061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61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10</Pages>
  <Words>2330</Words>
  <Characters>13284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LORDz</dc:creator>
  <cp:lastModifiedBy>LORDz</cp:lastModifiedBy>
  <cp:revision>206</cp:revision>
  <dcterms:created xsi:type="dcterms:W3CDTF">2015-06-05T06:29:00Z</dcterms:created>
  <dcterms:modified xsi:type="dcterms:W3CDTF">2015-06-19T02:28:00Z</dcterms:modified>
</cp:coreProperties>
</file>