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38" w:rsidRPr="00685A5E" w:rsidRDefault="00B40888" w:rsidP="00B95F68">
      <w:pPr>
        <w:spacing w:after="0" w:line="360" w:lineRule="auto"/>
        <w:jc w:val="center"/>
        <w:rPr>
          <w:rFonts w:ascii="Arial" w:hAnsi="Arial" w:cs="Arial"/>
          <w:b/>
          <w:sz w:val="24"/>
          <w:szCs w:val="24"/>
        </w:rPr>
      </w:pPr>
      <w:r w:rsidRPr="00685A5E">
        <w:rPr>
          <w:rFonts w:ascii="Arial" w:hAnsi="Arial" w:cs="Arial"/>
          <w:b/>
          <w:sz w:val="24"/>
          <w:szCs w:val="24"/>
        </w:rPr>
        <w:t>ANALISIS PORTOFOLIO STRATEGI</w:t>
      </w:r>
    </w:p>
    <w:p w:rsidR="00F47A71" w:rsidRPr="00685A5E" w:rsidRDefault="00F47A71" w:rsidP="00B95F68">
      <w:pPr>
        <w:spacing w:after="0" w:line="360" w:lineRule="auto"/>
        <w:jc w:val="center"/>
        <w:rPr>
          <w:rFonts w:ascii="Arial" w:hAnsi="Arial" w:cs="Arial"/>
          <w:b/>
          <w:sz w:val="24"/>
          <w:szCs w:val="24"/>
        </w:rPr>
      </w:pPr>
      <w:r w:rsidRPr="00685A5E">
        <w:rPr>
          <w:rFonts w:ascii="Arial" w:hAnsi="Arial" w:cs="Arial"/>
          <w:b/>
          <w:sz w:val="24"/>
          <w:szCs w:val="24"/>
        </w:rPr>
        <w:t xml:space="preserve">PT. </w:t>
      </w:r>
      <w:r w:rsidR="00DC4DA6" w:rsidRPr="00685A5E">
        <w:rPr>
          <w:rFonts w:ascii="Arial" w:hAnsi="Arial" w:cs="Arial"/>
          <w:b/>
          <w:sz w:val="24"/>
          <w:szCs w:val="24"/>
        </w:rPr>
        <w:t xml:space="preserve">SARANA JATENG </w:t>
      </w:r>
      <w:r w:rsidRPr="00685A5E">
        <w:rPr>
          <w:rFonts w:ascii="Arial" w:hAnsi="Arial" w:cs="Arial"/>
          <w:b/>
          <w:sz w:val="24"/>
          <w:szCs w:val="24"/>
        </w:rPr>
        <w:t xml:space="preserve">VENTURA </w:t>
      </w:r>
      <w:r w:rsidR="00685A5E">
        <w:rPr>
          <w:rFonts w:ascii="Arial" w:hAnsi="Arial" w:cs="Arial"/>
          <w:b/>
          <w:sz w:val="24"/>
          <w:szCs w:val="24"/>
        </w:rPr>
        <w:t>(SJV)</w:t>
      </w:r>
    </w:p>
    <w:p w:rsidR="00F47A71" w:rsidRPr="00685A5E" w:rsidRDefault="00B40888" w:rsidP="00B95F68">
      <w:pPr>
        <w:spacing w:line="360" w:lineRule="auto"/>
        <w:jc w:val="center"/>
        <w:rPr>
          <w:rFonts w:ascii="Arial" w:hAnsi="Arial" w:cs="Arial"/>
          <w:sz w:val="24"/>
          <w:szCs w:val="24"/>
        </w:rPr>
      </w:pPr>
      <w:r w:rsidRPr="00685A5E">
        <w:rPr>
          <w:rFonts w:ascii="Arial" w:hAnsi="Arial" w:cs="Arial"/>
          <w:noProof/>
          <w:sz w:val="24"/>
          <w:szCs w:val="24"/>
        </w:rPr>
        <w:drawing>
          <wp:inline distT="0" distB="0" distL="0" distR="0">
            <wp:extent cx="914400" cy="504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14400" cy="504825"/>
                    </a:xfrm>
                    <a:prstGeom prst="rect">
                      <a:avLst/>
                    </a:prstGeom>
                    <a:noFill/>
                    <a:ln w="9525">
                      <a:noFill/>
                      <a:miter lim="800000"/>
                      <a:headEnd/>
                      <a:tailEnd/>
                    </a:ln>
                  </pic:spPr>
                </pic:pic>
              </a:graphicData>
            </a:graphic>
          </wp:inline>
        </w:drawing>
      </w:r>
    </w:p>
    <w:p w:rsidR="00DC4DA6" w:rsidRPr="00685A5E" w:rsidRDefault="00DC4DA6" w:rsidP="00B95F68">
      <w:pPr>
        <w:pStyle w:val="Subtitle"/>
        <w:spacing w:line="360" w:lineRule="auto"/>
        <w:rPr>
          <w:rFonts w:ascii="Arial" w:hAnsi="Arial" w:cs="Arial"/>
          <w:b w:val="0"/>
          <w:sz w:val="24"/>
        </w:rPr>
      </w:pPr>
      <w:r w:rsidRPr="00685A5E">
        <w:rPr>
          <w:rFonts w:ascii="Arial" w:hAnsi="Arial" w:cs="Arial"/>
          <w:sz w:val="24"/>
        </w:rPr>
        <w:t>VISI PERSEROAN</w:t>
      </w:r>
      <w:r w:rsidRPr="00685A5E">
        <w:rPr>
          <w:rFonts w:ascii="Arial" w:hAnsi="Arial" w:cs="Arial"/>
          <w:sz w:val="24"/>
        </w:rPr>
        <w:tab/>
        <w:t xml:space="preserve">:  </w:t>
      </w:r>
      <w:r w:rsidRPr="00685A5E">
        <w:rPr>
          <w:rFonts w:ascii="Arial" w:hAnsi="Arial" w:cs="Arial"/>
          <w:b w:val="0"/>
          <w:sz w:val="24"/>
        </w:rPr>
        <w:t>“ Berkembang Bersama Mitra “</w:t>
      </w:r>
    </w:p>
    <w:p w:rsidR="00DC4DA6" w:rsidRPr="00685A5E" w:rsidRDefault="00DC4DA6" w:rsidP="00B95F68">
      <w:pPr>
        <w:spacing w:after="0" w:line="360" w:lineRule="auto"/>
        <w:rPr>
          <w:rFonts w:ascii="Arial" w:hAnsi="Arial" w:cs="Arial"/>
          <w:sz w:val="24"/>
          <w:szCs w:val="24"/>
        </w:rPr>
      </w:pPr>
    </w:p>
    <w:p w:rsidR="00DC4DA6" w:rsidRPr="00685A5E" w:rsidRDefault="00DC4DA6" w:rsidP="00B95F68">
      <w:pPr>
        <w:pStyle w:val="Heading4"/>
        <w:spacing w:line="360" w:lineRule="auto"/>
        <w:rPr>
          <w:rFonts w:ascii="Arial" w:hAnsi="Arial" w:cs="Arial"/>
          <w:b w:val="0"/>
          <w:sz w:val="24"/>
        </w:rPr>
      </w:pPr>
      <w:r w:rsidRPr="00685A5E">
        <w:rPr>
          <w:rFonts w:ascii="Arial" w:hAnsi="Arial" w:cs="Arial"/>
          <w:sz w:val="24"/>
        </w:rPr>
        <w:t>MISI PERSEROAN</w:t>
      </w:r>
      <w:r w:rsidRPr="00685A5E">
        <w:rPr>
          <w:rFonts w:ascii="Arial" w:hAnsi="Arial" w:cs="Arial"/>
          <w:sz w:val="24"/>
        </w:rPr>
        <w:tab/>
        <w:t xml:space="preserve">:  </w:t>
      </w:r>
      <w:r w:rsidRPr="00685A5E">
        <w:rPr>
          <w:rFonts w:ascii="Arial" w:hAnsi="Arial" w:cs="Arial"/>
          <w:b w:val="0"/>
          <w:sz w:val="24"/>
        </w:rPr>
        <w:t>“Membentuk usaha kecil dan menengah menjadi perusahaan yang tangguh dan mandiri, melalui dampingan dan binaan oleh tenaga modal ventura yang profesional dengan tetap mengedepankan prinsip kehati-hatian”</w:t>
      </w:r>
    </w:p>
    <w:p w:rsidR="00DC4DA6" w:rsidRPr="00685A5E" w:rsidRDefault="00DC4DA6" w:rsidP="00B95F68">
      <w:pPr>
        <w:spacing w:after="0" w:line="360" w:lineRule="auto"/>
        <w:rPr>
          <w:rFonts w:ascii="Arial" w:hAnsi="Arial" w:cs="Arial"/>
          <w:sz w:val="24"/>
          <w:szCs w:val="24"/>
        </w:rPr>
      </w:pPr>
    </w:p>
    <w:p w:rsidR="00DC4DA6" w:rsidRPr="00685A5E" w:rsidRDefault="00DC4DA6" w:rsidP="00B95F68">
      <w:pPr>
        <w:spacing w:after="0" w:line="360" w:lineRule="auto"/>
        <w:jc w:val="both"/>
        <w:rPr>
          <w:rFonts w:ascii="Arial" w:hAnsi="Arial" w:cs="Arial"/>
          <w:b/>
          <w:sz w:val="24"/>
          <w:szCs w:val="24"/>
        </w:rPr>
      </w:pPr>
      <w:r w:rsidRPr="00685A5E">
        <w:rPr>
          <w:rFonts w:ascii="Arial" w:hAnsi="Arial" w:cs="Arial"/>
          <w:b/>
          <w:sz w:val="24"/>
          <w:szCs w:val="24"/>
        </w:rPr>
        <w:t>Bidang Usaha Perseroan</w:t>
      </w:r>
    </w:p>
    <w:p w:rsidR="00DC4DA6" w:rsidRPr="00685A5E" w:rsidRDefault="00DC4DA6" w:rsidP="00B95F68">
      <w:pPr>
        <w:pStyle w:val="BodyText"/>
        <w:spacing w:line="360" w:lineRule="auto"/>
        <w:rPr>
          <w:rFonts w:ascii="Arial" w:hAnsi="Arial" w:cs="Arial"/>
          <w:sz w:val="24"/>
        </w:rPr>
      </w:pPr>
      <w:r w:rsidRPr="00685A5E">
        <w:rPr>
          <w:rFonts w:ascii="Arial" w:hAnsi="Arial" w:cs="Arial"/>
          <w:sz w:val="24"/>
        </w:rPr>
        <w:t>Memberikan pembiayaan modal ventura dengan sistem Bagi Hasil, Obligasi Konversi dan Penyertaan Saham pada pengusaha kecil, menegah dan koperasi. Pembiayaan dilakukan dengan disertai upaya pendampingan manajemen oleh perseroan.</w:t>
      </w:r>
    </w:p>
    <w:p w:rsidR="00DC4DA6" w:rsidRPr="00685A5E" w:rsidRDefault="00DC4DA6" w:rsidP="00B95F68">
      <w:pPr>
        <w:spacing w:after="0" w:line="360" w:lineRule="auto"/>
        <w:jc w:val="both"/>
        <w:rPr>
          <w:rFonts w:ascii="Arial" w:hAnsi="Arial" w:cs="Arial"/>
          <w:sz w:val="24"/>
          <w:szCs w:val="24"/>
        </w:rPr>
      </w:pPr>
    </w:p>
    <w:p w:rsidR="00DC4DA6" w:rsidRPr="00685A5E" w:rsidRDefault="00DC4DA6" w:rsidP="00B95F68">
      <w:pPr>
        <w:spacing w:after="0" w:line="360" w:lineRule="auto"/>
        <w:jc w:val="both"/>
        <w:rPr>
          <w:rFonts w:ascii="Arial" w:hAnsi="Arial" w:cs="Arial"/>
          <w:b/>
          <w:sz w:val="24"/>
          <w:szCs w:val="24"/>
        </w:rPr>
      </w:pPr>
      <w:r w:rsidRPr="00685A5E">
        <w:rPr>
          <w:rFonts w:ascii="Arial" w:hAnsi="Arial" w:cs="Arial"/>
          <w:b/>
          <w:sz w:val="24"/>
          <w:szCs w:val="24"/>
        </w:rPr>
        <w:t>Struktur Organisasi dan Sumber Daya Manusia</w:t>
      </w:r>
    </w:p>
    <w:p w:rsidR="00DC4DA6" w:rsidRPr="00685A5E" w:rsidRDefault="00DC4DA6" w:rsidP="00B95F68">
      <w:pPr>
        <w:pStyle w:val="BodyText"/>
        <w:spacing w:line="360" w:lineRule="auto"/>
        <w:rPr>
          <w:rFonts w:ascii="Arial" w:hAnsi="Arial" w:cs="Arial"/>
          <w:sz w:val="24"/>
        </w:rPr>
      </w:pPr>
      <w:r w:rsidRPr="00685A5E">
        <w:rPr>
          <w:rFonts w:ascii="Arial" w:hAnsi="Arial" w:cs="Arial"/>
          <w:sz w:val="24"/>
        </w:rPr>
        <w:t>Bagi perseroan yang bergerak dalam bisnis jasa keuangan, kualitas sumber daya manusia menjadi prioritas utama, oleh karena itu perseroan terus berupaya untuk meningkatkan kualitas dan kompetensi dari sumber daya yang ada dengan mengikuti pelatihan-pelatihan yang diselenggarakan oleh lembaga konsultan yang kompeten dalam bidangnya, maupun inhouse training yang diselenggarakan sendiri oleh perseroan.</w:t>
      </w:r>
    </w:p>
    <w:p w:rsidR="00DC4DA6" w:rsidRPr="00685A5E" w:rsidRDefault="00DC4DA6" w:rsidP="00B95F68">
      <w:pPr>
        <w:pStyle w:val="BodyText"/>
        <w:spacing w:line="360" w:lineRule="auto"/>
        <w:rPr>
          <w:rFonts w:ascii="Arial" w:hAnsi="Arial" w:cs="Arial"/>
          <w:sz w:val="24"/>
        </w:rPr>
      </w:pPr>
      <w:r w:rsidRPr="00685A5E">
        <w:rPr>
          <w:rFonts w:ascii="Arial" w:hAnsi="Arial" w:cs="Arial"/>
          <w:sz w:val="24"/>
        </w:rPr>
        <w:t xml:space="preserve">Organisasi perseroan saat ini didukung oleh 26 orang karyawan yang terdiri dari 18 orang tenaga staff 17 orang diantaranya lulusan pendidikan tinggi dan 8 orang non staff. </w:t>
      </w:r>
    </w:p>
    <w:p w:rsidR="00DC4DA6" w:rsidRPr="00685A5E" w:rsidRDefault="00DC4DA6" w:rsidP="00B95F68">
      <w:pPr>
        <w:spacing w:after="0" w:line="360" w:lineRule="auto"/>
        <w:rPr>
          <w:rFonts w:ascii="Arial" w:hAnsi="Arial" w:cs="Arial"/>
          <w:b/>
          <w:sz w:val="24"/>
          <w:szCs w:val="24"/>
        </w:rPr>
      </w:pPr>
    </w:p>
    <w:p w:rsidR="00DC4DA6" w:rsidRPr="00685A5E" w:rsidRDefault="00DC4DA6" w:rsidP="00B95F68">
      <w:pPr>
        <w:spacing w:after="0" w:line="360" w:lineRule="auto"/>
        <w:jc w:val="both"/>
        <w:rPr>
          <w:rFonts w:ascii="Arial" w:hAnsi="Arial" w:cs="Arial"/>
          <w:b/>
          <w:sz w:val="24"/>
          <w:szCs w:val="24"/>
        </w:rPr>
      </w:pPr>
      <w:r w:rsidRPr="00685A5E">
        <w:rPr>
          <w:rFonts w:ascii="Arial" w:hAnsi="Arial" w:cs="Arial"/>
          <w:b/>
          <w:sz w:val="24"/>
          <w:szCs w:val="24"/>
        </w:rPr>
        <w:t>Produk Jasa Perseroan</w:t>
      </w:r>
    </w:p>
    <w:p w:rsidR="00DC4DA6" w:rsidRPr="00685A5E" w:rsidRDefault="00DC4DA6" w:rsidP="00B95F68">
      <w:pPr>
        <w:pStyle w:val="BodyText"/>
        <w:spacing w:line="360" w:lineRule="auto"/>
        <w:rPr>
          <w:rFonts w:ascii="Arial" w:hAnsi="Arial" w:cs="Arial"/>
          <w:sz w:val="24"/>
        </w:rPr>
      </w:pPr>
      <w:r w:rsidRPr="00685A5E">
        <w:rPr>
          <w:rFonts w:ascii="Arial" w:hAnsi="Arial" w:cs="Arial"/>
          <w:sz w:val="24"/>
        </w:rPr>
        <w:t>Produk utama perseroan adalah jasa keuangan yang berupa pembiayaan modal ventura kepada Perusahaan Pasangan Usaha (PPU) yang terdiri dari pengusaha kecil, menengah dan koperasi. Produk-produk tersebut antara lain :</w:t>
      </w:r>
    </w:p>
    <w:p w:rsidR="00DC4DA6" w:rsidRPr="00685A5E" w:rsidRDefault="00DC4DA6" w:rsidP="00B95F68">
      <w:pPr>
        <w:pStyle w:val="BodyText"/>
        <w:spacing w:line="360" w:lineRule="auto"/>
        <w:rPr>
          <w:rFonts w:ascii="Arial" w:hAnsi="Arial" w:cs="Arial"/>
          <w:sz w:val="24"/>
        </w:rPr>
      </w:pPr>
    </w:p>
    <w:p w:rsidR="00DC4DA6" w:rsidRPr="00685A5E" w:rsidRDefault="00DC4DA6" w:rsidP="00B95F68">
      <w:pPr>
        <w:pStyle w:val="Heading2"/>
        <w:spacing w:line="360" w:lineRule="auto"/>
        <w:rPr>
          <w:rFonts w:ascii="Arial" w:hAnsi="Arial" w:cs="Arial"/>
          <w:sz w:val="24"/>
        </w:rPr>
      </w:pPr>
      <w:r w:rsidRPr="00685A5E">
        <w:rPr>
          <w:rFonts w:ascii="Arial" w:hAnsi="Arial" w:cs="Arial"/>
          <w:sz w:val="24"/>
        </w:rPr>
        <w:t>Pembiayaan Pola Bagi Hasil</w:t>
      </w:r>
    </w:p>
    <w:p w:rsidR="00DC4DA6" w:rsidRPr="00685A5E" w:rsidRDefault="00DC4DA6" w:rsidP="00B95F68">
      <w:pPr>
        <w:spacing w:after="0" w:line="360" w:lineRule="auto"/>
        <w:jc w:val="both"/>
        <w:rPr>
          <w:rFonts w:ascii="Arial" w:hAnsi="Arial" w:cs="Arial"/>
          <w:sz w:val="24"/>
          <w:szCs w:val="24"/>
        </w:rPr>
      </w:pPr>
      <w:r w:rsidRPr="00685A5E">
        <w:rPr>
          <w:rFonts w:ascii="Arial" w:hAnsi="Arial" w:cs="Arial"/>
          <w:sz w:val="24"/>
          <w:szCs w:val="24"/>
        </w:rPr>
        <w:t>Pembiayaan yang dilakukan dengan menggunakan pola bagi hasil berdasarkan prosentase tertentu yang telah disepakati, baik kepada perorangan maupun badan usaha.</w:t>
      </w:r>
    </w:p>
    <w:p w:rsidR="00DC4DA6" w:rsidRPr="00685A5E" w:rsidRDefault="00DC4DA6" w:rsidP="00B95F68">
      <w:pPr>
        <w:pStyle w:val="Heading2"/>
        <w:spacing w:line="360" w:lineRule="auto"/>
        <w:rPr>
          <w:rFonts w:ascii="Arial" w:hAnsi="Arial" w:cs="Arial"/>
          <w:sz w:val="24"/>
        </w:rPr>
      </w:pPr>
      <w:r w:rsidRPr="00685A5E">
        <w:rPr>
          <w:rFonts w:ascii="Arial" w:hAnsi="Arial" w:cs="Arial"/>
          <w:sz w:val="24"/>
        </w:rPr>
        <w:t>Penyertaan Saham</w:t>
      </w:r>
    </w:p>
    <w:p w:rsidR="00DC4DA6" w:rsidRPr="00685A5E" w:rsidRDefault="00DC4DA6" w:rsidP="00B95F68">
      <w:pPr>
        <w:spacing w:after="0" w:line="360" w:lineRule="auto"/>
        <w:jc w:val="both"/>
        <w:rPr>
          <w:rFonts w:ascii="Arial" w:hAnsi="Arial" w:cs="Arial"/>
          <w:sz w:val="24"/>
          <w:szCs w:val="24"/>
        </w:rPr>
      </w:pPr>
      <w:r w:rsidRPr="00685A5E">
        <w:rPr>
          <w:rFonts w:ascii="Arial" w:hAnsi="Arial" w:cs="Arial"/>
          <w:sz w:val="24"/>
          <w:szCs w:val="24"/>
        </w:rPr>
        <w:t>Penyertaan yang dilakukan dalam bentuk setoran saham biasa pada PPU dengan bentuk badan usaha Perseroan Terbatas (PT). Penyertaan saham dilakukan oleh perseroan dalam jangka waktu tertentu untuk kemudian akan diambil kembali oleh pemilik ataupun investor lain.</w:t>
      </w:r>
    </w:p>
    <w:p w:rsidR="00DC4DA6" w:rsidRPr="00685A5E" w:rsidRDefault="00DC4DA6" w:rsidP="00B95F68">
      <w:pPr>
        <w:pStyle w:val="Heading2"/>
        <w:spacing w:line="360" w:lineRule="auto"/>
        <w:rPr>
          <w:rFonts w:ascii="Arial" w:hAnsi="Arial" w:cs="Arial"/>
          <w:sz w:val="24"/>
        </w:rPr>
      </w:pPr>
      <w:r w:rsidRPr="00685A5E">
        <w:rPr>
          <w:rFonts w:ascii="Arial" w:hAnsi="Arial" w:cs="Arial"/>
          <w:sz w:val="24"/>
        </w:rPr>
        <w:t>Obligasi Konversi</w:t>
      </w:r>
    </w:p>
    <w:p w:rsidR="00DC4DA6" w:rsidRPr="00685A5E" w:rsidRDefault="00DC4DA6" w:rsidP="00B95F68">
      <w:pPr>
        <w:spacing w:after="0" w:line="360" w:lineRule="auto"/>
        <w:jc w:val="both"/>
        <w:rPr>
          <w:rFonts w:ascii="Arial" w:hAnsi="Arial" w:cs="Arial"/>
          <w:sz w:val="24"/>
          <w:szCs w:val="24"/>
        </w:rPr>
      </w:pPr>
      <w:r w:rsidRPr="00685A5E">
        <w:rPr>
          <w:rFonts w:ascii="Arial" w:hAnsi="Arial" w:cs="Arial"/>
          <w:sz w:val="24"/>
          <w:szCs w:val="24"/>
        </w:rPr>
        <w:t>Obligasi yang dapat dikonversikan ke dalam bentuk saham perusahaan oleh PPU dengan bentuk badan usaha Perseroan Terbatas.</w:t>
      </w:r>
    </w:p>
    <w:p w:rsidR="00DC4DA6" w:rsidRPr="00685A5E" w:rsidRDefault="00DC4DA6" w:rsidP="00B95F68">
      <w:pPr>
        <w:spacing w:after="0" w:line="360" w:lineRule="auto"/>
        <w:ind w:firstLine="720"/>
        <w:jc w:val="both"/>
        <w:rPr>
          <w:rFonts w:ascii="Arial" w:hAnsi="Arial" w:cs="Arial"/>
          <w:sz w:val="24"/>
          <w:szCs w:val="24"/>
        </w:rPr>
      </w:pPr>
    </w:p>
    <w:p w:rsidR="00DC4DA6" w:rsidRPr="00685A5E" w:rsidRDefault="00DC4DA6" w:rsidP="00B95F68">
      <w:pPr>
        <w:spacing w:after="0" w:line="360" w:lineRule="auto"/>
        <w:ind w:firstLine="720"/>
        <w:jc w:val="both"/>
        <w:rPr>
          <w:rFonts w:ascii="Arial" w:hAnsi="Arial" w:cs="Arial"/>
          <w:sz w:val="24"/>
          <w:szCs w:val="24"/>
        </w:rPr>
      </w:pPr>
      <w:r w:rsidRPr="00685A5E">
        <w:rPr>
          <w:rFonts w:ascii="Arial" w:hAnsi="Arial" w:cs="Arial"/>
          <w:sz w:val="24"/>
          <w:szCs w:val="24"/>
        </w:rPr>
        <w:t>Disamping ketiga jenis produk tersebut di atas, untuk meyesuaikan dengan karakteristik usaha dari PPU perseroan juga memberikan pembiayaan dalam bentuk pembiayaan kelompok mikro dan pembiayaan ekspor.</w:t>
      </w:r>
      <w:r w:rsidR="00B816D1" w:rsidRPr="00685A5E">
        <w:rPr>
          <w:rFonts w:ascii="Arial" w:hAnsi="Arial" w:cs="Arial"/>
          <w:sz w:val="24"/>
          <w:szCs w:val="24"/>
        </w:rPr>
        <w:t xml:space="preserve"> </w:t>
      </w:r>
      <w:r w:rsidRPr="00685A5E">
        <w:rPr>
          <w:rFonts w:ascii="Arial" w:hAnsi="Arial" w:cs="Arial"/>
          <w:sz w:val="24"/>
          <w:szCs w:val="24"/>
        </w:rPr>
        <w:t>Sebagai produk pelengkap yang juga merupakan nilai tambah dari produk jasa keuangan, perseroan juga memberikan jasa konsultasi kepada PPU yaitu berupa dampingan manajemen dan administrasi keuangan, bidang yang merupakan kelemahan pengusaha kecil dan menengah pada umumnya. Pendampingan ini sekaligus juga merupakan alat monitoring usaha PPU guna mengamankan investasi yang diberikan.</w:t>
      </w:r>
    </w:p>
    <w:p w:rsidR="00DC4DA6" w:rsidRPr="00685A5E" w:rsidRDefault="00DC4DA6" w:rsidP="00B95F68">
      <w:pPr>
        <w:spacing w:after="0" w:line="360" w:lineRule="auto"/>
        <w:jc w:val="both"/>
        <w:rPr>
          <w:rFonts w:ascii="Arial" w:hAnsi="Arial" w:cs="Arial"/>
          <w:sz w:val="24"/>
          <w:szCs w:val="24"/>
        </w:rPr>
      </w:pPr>
      <w:r w:rsidRPr="00685A5E">
        <w:rPr>
          <w:rFonts w:ascii="Arial" w:hAnsi="Arial" w:cs="Arial"/>
          <w:sz w:val="24"/>
          <w:szCs w:val="24"/>
        </w:rPr>
        <w:t xml:space="preserve">Pendampingan secara umum meliputi : </w:t>
      </w:r>
    </w:p>
    <w:p w:rsidR="00DC4DA6" w:rsidRPr="00685A5E" w:rsidRDefault="00DC4DA6" w:rsidP="00B95F68">
      <w:pPr>
        <w:numPr>
          <w:ilvl w:val="0"/>
          <w:numId w:val="15"/>
        </w:numPr>
        <w:tabs>
          <w:tab w:val="clear" w:pos="900"/>
          <w:tab w:val="num" w:pos="540"/>
        </w:tabs>
        <w:spacing w:after="0" w:line="360" w:lineRule="auto"/>
        <w:ind w:left="567" w:hanging="540"/>
        <w:jc w:val="both"/>
        <w:rPr>
          <w:rFonts w:ascii="Arial" w:hAnsi="Arial" w:cs="Arial"/>
          <w:sz w:val="24"/>
          <w:szCs w:val="24"/>
        </w:rPr>
      </w:pPr>
      <w:r w:rsidRPr="00685A5E">
        <w:rPr>
          <w:rFonts w:ascii="Arial" w:hAnsi="Arial" w:cs="Arial"/>
          <w:sz w:val="24"/>
          <w:szCs w:val="24"/>
        </w:rPr>
        <w:t>Konsultasi manajemen secara umum,</w:t>
      </w:r>
    </w:p>
    <w:p w:rsidR="00DC4DA6" w:rsidRPr="00685A5E" w:rsidRDefault="00DC4DA6" w:rsidP="00B95F68">
      <w:pPr>
        <w:numPr>
          <w:ilvl w:val="0"/>
          <w:numId w:val="15"/>
        </w:numPr>
        <w:tabs>
          <w:tab w:val="clear" w:pos="900"/>
          <w:tab w:val="num" w:pos="540"/>
        </w:tabs>
        <w:spacing w:after="0" w:line="360" w:lineRule="auto"/>
        <w:ind w:left="567" w:hanging="540"/>
        <w:jc w:val="both"/>
        <w:rPr>
          <w:rFonts w:ascii="Arial" w:hAnsi="Arial" w:cs="Arial"/>
          <w:sz w:val="24"/>
          <w:szCs w:val="24"/>
        </w:rPr>
      </w:pPr>
      <w:r w:rsidRPr="00685A5E">
        <w:rPr>
          <w:rFonts w:ascii="Arial" w:hAnsi="Arial" w:cs="Arial"/>
          <w:sz w:val="24"/>
          <w:szCs w:val="24"/>
        </w:rPr>
        <w:t>Perancangan dan implementasi sistem akuntansi dan keuangan,</w:t>
      </w:r>
    </w:p>
    <w:p w:rsidR="00DC4DA6" w:rsidRPr="00685A5E" w:rsidRDefault="00DC4DA6" w:rsidP="00B95F68">
      <w:pPr>
        <w:numPr>
          <w:ilvl w:val="0"/>
          <w:numId w:val="15"/>
        </w:numPr>
        <w:tabs>
          <w:tab w:val="clear" w:pos="900"/>
          <w:tab w:val="num" w:pos="540"/>
        </w:tabs>
        <w:spacing w:after="0" w:line="360" w:lineRule="auto"/>
        <w:ind w:left="567" w:hanging="540"/>
        <w:jc w:val="both"/>
        <w:rPr>
          <w:rFonts w:ascii="Arial" w:hAnsi="Arial" w:cs="Arial"/>
          <w:sz w:val="24"/>
          <w:szCs w:val="24"/>
        </w:rPr>
      </w:pPr>
      <w:r w:rsidRPr="00685A5E">
        <w:rPr>
          <w:rFonts w:ascii="Arial" w:hAnsi="Arial" w:cs="Arial"/>
          <w:sz w:val="24"/>
          <w:szCs w:val="24"/>
        </w:rPr>
        <w:t>Perancangan dan pengembangan sumber daya manusia,</w:t>
      </w:r>
    </w:p>
    <w:p w:rsidR="00DC4DA6" w:rsidRPr="00685A5E" w:rsidRDefault="00DC4DA6" w:rsidP="00B95F68">
      <w:pPr>
        <w:numPr>
          <w:ilvl w:val="0"/>
          <w:numId w:val="15"/>
        </w:numPr>
        <w:tabs>
          <w:tab w:val="clear" w:pos="900"/>
          <w:tab w:val="num" w:pos="540"/>
        </w:tabs>
        <w:spacing w:after="0" w:line="360" w:lineRule="auto"/>
        <w:ind w:left="567" w:hanging="540"/>
        <w:jc w:val="both"/>
        <w:rPr>
          <w:rFonts w:ascii="Arial" w:hAnsi="Arial" w:cs="Arial"/>
          <w:sz w:val="24"/>
          <w:szCs w:val="24"/>
        </w:rPr>
      </w:pPr>
      <w:r w:rsidRPr="00685A5E">
        <w:rPr>
          <w:rFonts w:ascii="Arial" w:hAnsi="Arial" w:cs="Arial"/>
          <w:sz w:val="24"/>
          <w:szCs w:val="24"/>
        </w:rPr>
        <w:t>Pendeteksian dini permasalahan usaha PPU yang mungkin timbul dan memberikan usulan solusinya,</w:t>
      </w:r>
    </w:p>
    <w:p w:rsidR="00DC4DA6" w:rsidRPr="00685A5E" w:rsidRDefault="00DC4DA6" w:rsidP="00B95F68">
      <w:pPr>
        <w:numPr>
          <w:ilvl w:val="0"/>
          <w:numId w:val="15"/>
        </w:numPr>
        <w:tabs>
          <w:tab w:val="clear" w:pos="900"/>
          <w:tab w:val="num" w:pos="540"/>
        </w:tabs>
        <w:spacing w:after="0" w:line="360" w:lineRule="auto"/>
        <w:ind w:left="567" w:hanging="540"/>
        <w:jc w:val="both"/>
        <w:rPr>
          <w:rFonts w:ascii="Arial" w:hAnsi="Arial" w:cs="Arial"/>
          <w:sz w:val="24"/>
          <w:szCs w:val="24"/>
        </w:rPr>
      </w:pPr>
      <w:r w:rsidRPr="00685A5E">
        <w:rPr>
          <w:rFonts w:ascii="Arial" w:hAnsi="Arial" w:cs="Arial"/>
          <w:sz w:val="24"/>
          <w:szCs w:val="24"/>
        </w:rPr>
        <w:t>Usulan perbaikan atas kondisi usaha PPU</w:t>
      </w:r>
    </w:p>
    <w:p w:rsidR="00B816D1" w:rsidRPr="00685A5E" w:rsidRDefault="00B816D1" w:rsidP="00B95F68">
      <w:pPr>
        <w:spacing w:after="0" w:line="360" w:lineRule="auto"/>
        <w:rPr>
          <w:rFonts w:ascii="Arial" w:hAnsi="Arial" w:cs="Arial"/>
          <w:b/>
          <w:sz w:val="24"/>
          <w:szCs w:val="24"/>
        </w:rPr>
      </w:pPr>
    </w:p>
    <w:p w:rsidR="00B816D1" w:rsidRPr="00685A5E" w:rsidRDefault="00B816D1" w:rsidP="00B95F68">
      <w:pPr>
        <w:spacing w:after="0" w:line="360" w:lineRule="auto"/>
        <w:rPr>
          <w:rFonts w:ascii="Arial" w:hAnsi="Arial" w:cs="Arial"/>
          <w:b/>
          <w:sz w:val="24"/>
          <w:szCs w:val="24"/>
        </w:rPr>
      </w:pPr>
      <w:r w:rsidRPr="00685A5E">
        <w:rPr>
          <w:rFonts w:ascii="Arial" w:hAnsi="Arial" w:cs="Arial"/>
          <w:b/>
          <w:sz w:val="24"/>
          <w:szCs w:val="24"/>
        </w:rPr>
        <w:br w:type="page"/>
      </w:r>
    </w:p>
    <w:p w:rsidR="00FA0633" w:rsidRPr="00685A5E" w:rsidRDefault="00FA0633" w:rsidP="00B95F68">
      <w:pPr>
        <w:pStyle w:val="ListParagraph"/>
        <w:numPr>
          <w:ilvl w:val="0"/>
          <w:numId w:val="1"/>
        </w:numPr>
        <w:spacing w:line="360" w:lineRule="auto"/>
        <w:ind w:left="709" w:hanging="709"/>
        <w:jc w:val="both"/>
        <w:rPr>
          <w:rFonts w:ascii="Arial" w:hAnsi="Arial" w:cs="Arial"/>
          <w:b/>
          <w:sz w:val="24"/>
          <w:szCs w:val="24"/>
        </w:rPr>
      </w:pPr>
      <w:r w:rsidRPr="00685A5E">
        <w:rPr>
          <w:rFonts w:ascii="Arial" w:hAnsi="Arial" w:cs="Arial"/>
          <w:b/>
          <w:sz w:val="24"/>
          <w:szCs w:val="24"/>
        </w:rPr>
        <w:t xml:space="preserve">DINAMIKA LINGKUNGAN STRATEGIS PT. </w:t>
      </w:r>
      <w:r w:rsidR="00DC4DA6" w:rsidRPr="00685A5E">
        <w:rPr>
          <w:rFonts w:ascii="Arial" w:hAnsi="Arial" w:cs="Arial"/>
          <w:b/>
          <w:sz w:val="24"/>
          <w:szCs w:val="24"/>
        </w:rPr>
        <w:t xml:space="preserve">SARANA JATENG </w:t>
      </w:r>
      <w:r w:rsidRPr="00685A5E">
        <w:rPr>
          <w:rFonts w:ascii="Arial" w:hAnsi="Arial" w:cs="Arial"/>
          <w:b/>
          <w:sz w:val="24"/>
          <w:szCs w:val="24"/>
        </w:rPr>
        <w:t>VENTURA</w:t>
      </w:r>
    </w:p>
    <w:p w:rsidR="00DC4DA6" w:rsidRPr="00685A5E" w:rsidRDefault="00402B20" w:rsidP="00B95F68">
      <w:pPr>
        <w:spacing w:line="360" w:lineRule="auto"/>
        <w:jc w:val="both"/>
        <w:rPr>
          <w:rFonts w:ascii="Arial" w:hAnsi="Arial" w:cs="Arial"/>
          <w:b/>
          <w:sz w:val="24"/>
          <w:szCs w:val="24"/>
        </w:rPr>
      </w:pPr>
      <w:r>
        <w:rPr>
          <w:rFonts w:ascii="Arial" w:hAnsi="Arial" w:cs="Arial"/>
          <w:b/>
          <w:sz w:val="24"/>
          <w:szCs w:val="24"/>
        </w:rPr>
        <w:t xml:space="preserve">Analisis </w:t>
      </w:r>
      <w:r w:rsidR="00685A5E" w:rsidRPr="00685A5E">
        <w:rPr>
          <w:rFonts w:ascii="Arial" w:hAnsi="Arial" w:cs="Arial"/>
          <w:b/>
          <w:sz w:val="24"/>
          <w:szCs w:val="24"/>
        </w:rPr>
        <w:t>Lingkungan Eksternal Perusahaan</w:t>
      </w:r>
    </w:p>
    <w:p w:rsidR="00DC4DA6" w:rsidRPr="00685A5E" w:rsidRDefault="00DC4DA6" w:rsidP="00B95F68">
      <w:pPr>
        <w:pStyle w:val="ListParagraph"/>
        <w:numPr>
          <w:ilvl w:val="0"/>
          <w:numId w:val="16"/>
        </w:numPr>
        <w:spacing w:line="360" w:lineRule="auto"/>
        <w:ind w:left="426" w:hanging="426"/>
        <w:jc w:val="both"/>
        <w:rPr>
          <w:rFonts w:ascii="Arial" w:hAnsi="Arial" w:cs="Arial"/>
          <w:sz w:val="24"/>
          <w:szCs w:val="24"/>
        </w:rPr>
      </w:pPr>
      <w:r w:rsidRPr="00685A5E">
        <w:rPr>
          <w:rFonts w:ascii="Arial" w:hAnsi="Arial" w:cs="Arial"/>
          <w:sz w:val="24"/>
          <w:szCs w:val="24"/>
        </w:rPr>
        <w:t>Kondisi Ekonomi wilayah Jawa Tengah</w:t>
      </w:r>
    </w:p>
    <w:p w:rsidR="00DC4DA6" w:rsidRPr="00685A5E" w:rsidRDefault="00DC4DA6"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Ekonomi Jawa Tengah tahun 2009 tumbuh dalam kisaran 4,8%-5,3% (yoy), relatif lebih rendah dibandingkan pertumbuhan PDRB tahun 2008 sebesar 5,46%</w:t>
      </w:r>
      <w:r w:rsidR="00B10B06" w:rsidRPr="00685A5E">
        <w:rPr>
          <w:rFonts w:ascii="Arial" w:hAnsi="Arial" w:cs="Arial"/>
          <w:sz w:val="24"/>
          <w:szCs w:val="24"/>
        </w:rPr>
        <w:t>, namun lebih tinggi dibandingkan perkiraan pertumbuhan ekonomi nasional sebesar 4,0%-4,5% (BI Jateng)</w:t>
      </w:r>
    </w:p>
    <w:p w:rsidR="00B10B06" w:rsidRPr="00685A5E" w:rsidRDefault="00B10B06"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Berdasarkan sektoral berikut tabel pertumbuhan PDRB Jateng:</w:t>
      </w:r>
    </w:p>
    <w:p w:rsidR="00B10B06" w:rsidRPr="00685A5E" w:rsidRDefault="00005F2B" w:rsidP="00B95F68">
      <w:pPr>
        <w:pStyle w:val="ListParagraph"/>
        <w:spacing w:line="360" w:lineRule="auto"/>
        <w:ind w:left="786"/>
        <w:jc w:val="both"/>
        <w:rPr>
          <w:rFonts w:ascii="Arial" w:hAnsi="Arial" w:cs="Arial"/>
          <w:sz w:val="24"/>
          <w:szCs w:val="24"/>
        </w:rPr>
      </w:pPr>
      <w:r w:rsidRPr="00685A5E">
        <w:rPr>
          <w:rFonts w:ascii="Arial" w:hAnsi="Arial" w:cs="Arial"/>
          <w:sz w:val="24"/>
          <w:szCs w:val="24"/>
        </w:rPr>
        <w:object w:dxaOrig="13228" w:dyaOrig="3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9pt;height:165.95pt" o:ole="">
            <v:imagedata r:id="rId9" o:title=""/>
          </v:shape>
          <o:OLEObject Type="Embed" ProgID="Excel.Sheet.12" ShapeID="_x0000_i1025" DrawAspect="Content" ObjectID="_1322053009" r:id="rId10"/>
        </w:object>
      </w:r>
    </w:p>
    <w:p w:rsidR="00E57B8D" w:rsidRPr="00685A5E" w:rsidRDefault="00E57B8D"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Berdasarkan komoditas, ekspor terbesar dari Jawa Tengah adalah komoditas TPT dan Meubel/Perabotan dari kayu dan turunannya, dimana terjadinya peningkatan pangsa komoditas ini pada Triwulan II Tahun 2009. Dari data yang diperoleh juga menunjukkan industri TPT mulai menunjukkan peningkatan kapasitas produksi seiring membaiknya permintaan LN.</w:t>
      </w:r>
    </w:p>
    <w:p w:rsidR="00E57B8D" w:rsidRPr="00685A5E" w:rsidRDefault="00E57B8D"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Adanya pembangunan infrastruktur di Jawa Tengah, seperti Jalan Tol Batang – Pekalongan, Semarang-Solo, Fly Over Semarang dan proyek pertokoan/property dapat membuka usaha-usaha turunannya dan adanya percepatan pertumbuhan ekonomi di wilayah Jawa Tengah.</w:t>
      </w:r>
    </w:p>
    <w:p w:rsidR="00BD3269" w:rsidRPr="00685A5E" w:rsidRDefault="00BD3269"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Terjadi tren penurunan suku bunga perbankan mengikuti tren penurunan BI Rate sebesar 6,25%.</w:t>
      </w:r>
    </w:p>
    <w:p w:rsidR="00B816D1" w:rsidRPr="00685A5E" w:rsidRDefault="00B816D1"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Potensi kenaikan Tarif Dasar Listri (TDL), bahan bakar minya serta kenaikan harga pupuk untuk pertanian.</w:t>
      </w:r>
    </w:p>
    <w:p w:rsidR="00B816D1" w:rsidRDefault="00B816D1"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Sektor TPT dianggap “</w:t>
      </w:r>
      <w:r w:rsidRPr="00685A5E">
        <w:rPr>
          <w:rFonts w:ascii="Arial" w:hAnsi="Arial" w:cs="Arial"/>
          <w:i/>
          <w:sz w:val="24"/>
          <w:szCs w:val="24"/>
        </w:rPr>
        <w:t>sunset industry</w:t>
      </w:r>
      <w:r w:rsidRPr="00685A5E">
        <w:rPr>
          <w:rFonts w:ascii="Arial" w:hAnsi="Arial" w:cs="Arial"/>
          <w:sz w:val="24"/>
          <w:szCs w:val="24"/>
        </w:rPr>
        <w:t>” dan permasalahan pemasaran produk furnitur dan produk kayu.</w:t>
      </w:r>
    </w:p>
    <w:p w:rsidR="00B95F68" w:rsidRPr="00685A5E" w:rsidRDefault="00B95F68" w:rsidP="00B95F68">
      <w:pPr>
        <w:pStyle w:val="ListParagraph"/>
        <w:spacing w:line="360" w:lineRule="auto"/>
        <w:ind w:left="786"/>
        <w:jc w:val="both"/>
        <w:rPr>
          <w:rFonts w:ascii="Arial" w:hAnsi="Arial" w:cs="Arial"/>
          <w:sz w:val="24"/>
          <w:szCs w:val="24"/>
        </w:rPr>
      </w:pPr>
    </w:p>
    <w:p w:rsidR="00DC4DA6" w:rsidRPr="00685A5E" w:rsidRDefault="00E57B8D" w:rsidP="00B95F68">
      <w:pPr>
        <w:pStyle w:val="ListParagraph"/>
        <w:numPr>
          <w:ilvl w:val="0"/>
          <w:numId w:val="16"/>
        </w:numPr>
        <w:spacing w:line="360" w:lineRule="auto"/>
        <w:ind w:left="426" w:hanging="426"/>
        <w:jc w:val="both"/>
        <w:rPr>
          <w:rFonts w:ascii="Arial" w:hAnsi="Arial" w:cs="Arial"/>
          <w:sz w:val="24"/>
          <w:szCs w:val="24"/>
        </w:rPr>
      </w:pPr>
      <w:r w:rsidRPr="00685A5E">
        <w:rPr>
          <w:rFonts w:ascii="Arial" w:hAnsi="Arial" w:cs="Arial"/>
          <w:sz w:val="24"/>
          <w:szCs w:val="24"/>
        </w:rPr>
        <w:t>Kondisi Politik Propinsi Jawa Tengah</w:t>
      </w:r>
    </w:p>
    <w:p w:rsidR="00E57B8D" w:rsidRDefault="00E57B8D"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Terpilihnya Pasangan Kepala Daerah Bibit – Rustri, memberikan kepastian dalam hal pembangunan wilayah Jawa Tengah yang merata, hal ini terlihat dengan penyebaran aktivitas sumbangan PDRB yang lebih merata antara Pantura dengan Pansel, bahkan jika dilihat dari pertumbuhan, maka 6 kabupaten/kota dari 10 kabupaten/kota yang ada merupakan Pansel, yakni Subosukawonosraten</w:t>
      </w:r>
      <w:r w:rsidR="00BD3269" w:rsidRPr="00685A5E">
        <w:rPr>
          <w:rFonts w:ascii="Arial" w:hAnsi="Arial" w:cs="Arial"/>
          <w:sz w:val="24"/>
          <w:szCs w:val="24"/>
        </w:rPr>
        <w:t>.</w:t>
      </w:r>
    </w:p>
    <w:p w:rsidR="009932AD" w:rsidRDefault="009932AD" w:rsidP="00B95F68">
      <w:pPr>
        <w:pStyle w:val="ListParagraph"/>
        <w:numPr>
          <w:ilvl w:val="0"/>
          <w:numId w:val="17"/>
        </w:numPr>
        <w:spacing w:line="360" w:lineRule="auto"/>
        <w:jc w:val="both"/>
        <w:rPr>
          <w:rFonts w:ascii="Arial" w:hAnsi="Arial" w:cs="Arial"/>
          <w:sz w:val="24"/>
          <w:szCs w:val="24"/>
        </w:rPr>
      </w:pPr>
      <w:r w:rsidRPr="00685A5E">
        <w:rPr>
          <w:rFonts w:ascii="Arial" w:hAnsi="Arial" w:cs="Arial"/>
          <w:sz w:val="24"/>
          <w:szCs w:val="24"/>
        </w:rPr>
        <w:t>Pada tahun 2010 terdapat pelaksanaan PILKADA di 17 Kabupaten/kota di Jawa Tengah hal ini dapat menjadi stimulus ekonomi.</w:t>
      </w:r>
    </w:p>
    <w:p w:rsidR="009932AD" w:rsidRPr="00685A5E" w:rsidRDefault="009932AD" w:rsidP="00B95F68">
      <w:pPr>
        <w:pStyle w:val="ListParagraph"/>
        <w:numPr>
          <w:ilvl w:val="0"/>
          <w:numId w:val="17"/>
        </w:numPr>
        <w:spacing w:line="360" w:lineRule="auto"/>
        <w:jc w:val="both"/>
        <w:rPr>
          <w:rFonts w:ascii="Arial" w:hAnsi="Arial" w:cs="Arial"/>
          <w:sz w:val="24"/>
          <w:szCs w:val="24"/>
        </w:rPr>
      </w:pPr>
      <w:r>
        <w:rPr>
          <w:rFonts w:ascii="Arial" w:hAnsi="Arial" w:cs="Arial"/>
          <w:sz w:val="24"/>
          <w:szCs w:val="24"/>
        </w:rPr>
        <w:t>Pemerintah Jawa Tengah mencanangkan adanya tingkat penurunan, dari aspek kemiskinan sebesar 4-5% dan turunnya tingkat jumlah pengangguran sebesar 7,28%. Sehingga mendorong sektor informal dan sektor Usaha Mikro, Kecil dan Menengah untuk lebih ditingkatkan dalam rangka mencapai tujuan tersebut.</w:t>
      </w:r>
      <w:r w:rsidR="00CF4F07">
        <w:rPr>
          <w:rFonts w:ascii="Arial" w:hAnsi="Arial" w:cs="Arial"/>
          <w:sz w:val="24"/>
          <w:szCs w:val="24"/>
        </w:rPr>
        <w:t xml:space="preserve"> Hal ini menjadi potensi untuk pembiayaan mikro dan kecil dengan dana-dana pemerintah yang lebih rendah.</w:t>
      </w:r>
    </w:p>
    <w:p w:rsidR="009932AD" w:rsidRPr="00685A5E" w:rsidRDefault="009932AD" w:rsidP="00B95F68">
      <w:pPr>
        <w:pStyle w:val="ListParagraph"/>
        <w:spacing w:line="360" w:lineRule="auto"/>
        <w:ind w:left="426"/>
        <w:jc w:val="both"/>
        <w:rPr>
          <w:rFonts w:ascii="Arial" w:hAnsi="Arial" w:cs="Arial"/>
          <w:sz w:val="24"/>
          <w:szCs w:val="24"/>
        </w:rPr>
      </w:pPr>
    </w:p>
    <w:p w:rsidR="00E57B8D" w:rsidRPr="00685A5E" w:rsidRDefault="00BD3269" w:rsidP="00B95F68">
      <w:pPr>
        <w:pStyle w:val="ListParagraph"/>
        <w:numPr>
          <w:ilvl w:val="0"/>
          <w:numId w:val="16"/>
        </w:numPr>
        <w:spacing w:line="360" w:lineRule="auto"/>
        <w:ind w:left="426" w:hanging="426"/>
        <w:jc w:val="both"/>
        <w:rPr>
          <w:rFonts w:ascii="Arial" w:hAnsi="Arial" w:cs="Arial"/>
          <w:sz w:val="24"/>
          <w:szCs w:val="24"/>
        </w:rPr>
      </w:pPr>
      <w:r w:rsidRPr="00685A5E">
        <w:rPr>
          <w:rFonts w:ascii="Arial" w:hAnsi="Arial" w:cs="Arial"/>
          <w:sz w:val="24"/>
          <w:szCs w:val="24"/>
        </w:rPr>
        <w:t>Lingkungan Sosial &amp; Budaya</w:t>
      </w:r>
    </w:p>
    <w:p w:rsidR="00BD3269" w:rsidRPr="00685A5E" w:rsidRDefault="00BD3269" w:rsidP="00B95F68">
      <w:pPr>
        <w:pStyle w:val="ListParagraph"/>
        <w:spacing w:line="360" w:lineRule="auto"/>
        <w:ind w:left="426"/>
        <w:jc w:val="both"/>
        <w:rPr>
          <w:rFonts w:ascii="Arial" w:hAnsi="Arial" w:cs="Arial"/>
          <w:sz w:val="24"/>
          <w:szCs w:val="24"/>
        </w:rPr>
      </w:pPr>
      <w:r w:rsidRPr="00685A5E">
        <w:rPr>
          <w:rFonts w:ascii="Arial" w:hAnsi="Arial" w:cs="Arial"/>
          <w:sz w:val="24"/>
          <w:szCs w:val="24"/>
        </w:rPr>
        <w:t xml:space="preserve">Perubahan iklim  dan kondisi lingkungan alam di wilayah Jawa Tengah, baik Pantura maupun Pansel dapat memeberikan engaruh negatif kepada produk pertanian. </w:t>
      </w:r>
    </w:p>
    <w:p w:rsidR="00BD3269" w:rsidRPr="00685A5E" w:rsidRDefault="00BD3269" w:rsidP="00B95F68">
      <w:pPr>
        <w:pStyle w:val="ListParagraph"/>
        <w:spacing w:line="360" w:lineRule="auto"/>
        <w:ind w:left="426"/>
        <w:jc w:val="both"/>
        <w:rPr>
          <w:rFonts w:ascii="Arial" w:hAnsi="Arial" w:cs="Arial"/>
          <w:sz w:val="24"/>
          <w:szCs w:val="24"/>
        </w:rPr>
      </w:pPr>
      <w:r w:rsidRPr="00685A5E">
        <w:rPr>
          <w:rFonts w:ascii="Arial" w:hAnsi="Arial" w:cs="Arial"/>
          <w:sz w:val="24"/>
          <w:szCs w:val="24"/>
        </w:rPr>
        <w:t>Perubahan sosial budaya masyarakat Jawa Tengah, terutama dalam hal pola konsumsi dengan adanya penyebaran</w:t>
      </w:r>
      <w:r w:rsidR="00B816D1" w:rsidRPr="00685A5E">
        <w:rPr>
          <w:rFonts w:ascii="Arial" w:hAnsi="Arial" w:cs="Arial"/>
          <w:sz w:val="24"/>
          <w:szCs w:val="24"/>
        </w:rPr>
        <w:t>/distribusi barang dan jasa</w:t>
      </w:r>
      <w:r w:rsidRPr="00685A5E">
        <w:rPr>
          <w:rFonts w:ascii="Arial" w:hAnsi="Arial" w:cs="Arial"/>
          <w:sz w:val="24"/>
          <w:szCs w:val="24"/>
        </w:rPr>
        <w:t xml:space="preserve"> </w:t>
      </w:r>
      <w:r w:rsidR="00B816D1" w:rsidRPr="00685A5E">
        <w:rPr>
          <w:rFonts w:ascii="Arial" w:hAnsi="Arial" w:cs="Arial"/>
          <w:sz w:val="24"/>
          <w:szCs w:val="24"/>
        </w:rPr>
        <w:t xml:space="preserve">serta </w:t>
      </w:r>
      <w:r w:rsidRPr="00685A5E">
        <w:rPr>
          <w:rFonts w:ascii="Arial" w:hAnsi="Arial" w:cs="Arial"/>
          <w:sz w:val="24"/>
          <w:szCs w:val="24"/>
        </w:rPr>
        <w:t xml:space="preserve">akses informasi yang cepat. </w:t>
      </w:r>
    </w:p>
    <w:p w:rsidR="00B816D1" w:rsidRPr="00685A5E" w:rsidRDefault="00B816D1" w:rsidP="00B95F68">
      <w:pPr>
        <w:pStyle w:val="ListParagraph"/>
        <w:spacing w:line="360" w:lineRule="auto"/>
        <w:ind w:left="426"/>
        <w:jc w:val="both"/>
        <w:rPr>
          <w:rFonts w:ascii="Arial" w:hAnsi="Arial" w:cs="Arial"/>
          <w:sz w:val="24"/>
          <w:szCs w:val="24"/>
        </w:rPr>
      </w:pPr>
      <w:r w:rsidRPr="00685A5E">
        <w:rPr>
          <w:rFonts w:ascii="Arial" w:hAnsi="Arial" w:cs="Arial"/>
          <w:sz w:val="24"/>
          <w:szCs w:val="24"/>
        </w:rPr>
        <w:t>Propinsi Jawa Tengah masih cukup menarik bagi investasi (biaya tenaga kerja yag murah dan berlimpah, pangsa pasar yang masih besar dan luas, sumber daya alam yang cukup tersedia dan dekat dengan bahan baku untuk komoditi tertentu).</w:t>
      </w:r>
    </w:p>
    <w:p w:rsidR="00B816D1" w:rsidRPr="00685A5E" w:rsidRDefault="00B816D1" w:rsidP="00B95F68">
      <w:pPr>
        <w:pStyle w:val="ListParagraph"/>
        <w:spacing w:line="360" w:lineRule="auto"/>
        <w:ind w:left="426"/>
        <w:jc w:val="both"/>
        <w:rPr>
          <w:rFonts w:ascii="Arial" w:hAnsi="Arial" w:cs="Arial"/>
          <w:sz w:val="24"/>
          <w:szCs w:val="24"/>
        </w:rPr>
      </w:pPr>
      <w:r w:rsidRPr="00685A5E">
        <w:rPr>
          <w:rFonts w:ascii="Arial" w:hAnsi="Arial" w:cs="Arial"/>
          <w:sz w:val="24"/>
          <w:szCs w:val="24"/>
        </w:rPr>
        <w:t xml:space="preserve">Adanya tuntutan </w:t>
      </w:r>
      <w:r w:rsidRPr="00685A5E">
        <w:rPr>
          <w:rFonts w:ascii="Arial" w:hAnsi="Arial" w:cs="Arial"/>
          <w:i/>
          <w:sz w:val="24"/>
          <w:szCs w:val="24"/>
        </w:rPr>
        <w:t>green industry</w:t>
      </w:r>
      <w:r w:rsidRPr="00685A5E">
        <w:rPr>
          <w:rFonts w:ascii="Arial" w:hAnsi="Arial" w:cs="Arial"/>
          <w:sz w:val="24"/>
          <w:szCs w:val="24"/>
        </w:rPr>
        <w:t xml:space="preserve"> dengan berupa adanya </w:t>
      </w:r>
      <w:r w:rsidRPr="00685A5E">
        <w:rPr>
          <w:rFonts w:ascii="Arial" w:hAnsi="Arial" w:cs="Arial"/>
          <w:i/>
          <w:sz w:val="24"/>
          <w:szCs w:val="24"/>
        </w:rPr>
        <w:t>ecolabelling</w:t>
      </w:r>
      <w:r w:rsidRPr="00685A5E">
        <w:rPr>
          <w:rFonts w:ascii="Arial" w:hAnsi="Arial" w:cs="Arial"/>
          <w:sz w:val="24"/>
          <w:szCs w:val="24"/>
        </w:rPr>
        <w:t xml:space="preserve"> di pasar internasional</w:t>
      </w:r>
    </w:p>
    <w:p w:rsidR="00BD3269" w:rsidRPr="00685A5E" w:rsidRDefault="00B816D1" w:rsidP="00B95F68">
      <w:pPr>
        <w:pStyle w:val="ListParagraph"/>
        <w:numPr>
          <w:ilvl w:val="0"/>
          <w:numId w:val="16"/>
        </w:numPr>
        <w:spacing w:line="360" w:lineRule="auto"/>
        <w:ind w:left="426" w:hanging="426"/>
        <w:jc w:val="both"/>
        <w:rPr>
          <w:rFonts w:ascii="Arial" w:hAnsi="Arial" w:cs="Arial"/>
          <w:sz w:val="24"/>
          <w:szCs w:val="24"/>
        </w:rPr>
      </w:pPr>
      <w:r w:rsidRPr="00685A5E">
        <w:rPr>
          <w:rFonts w:ascii="Arial" w:hAnsi="Arial" w:cs="Arial"/>
          <w:sz w:val="24"/>
          <w:szCs w:val="24"/>
        </w:rPr>
        <w:t>Lingkungan Teknologi</w:t>
      </w:r>
    </w:p>
    <w:p w:rsidR="00B816D1" w:rsidRPr="00685A5E" w:rsidRDefault="00B816D1" w:rsidP="00B95F68">
      <w:pPr>
        <w:pStyle w:val="ListParagraph"/>
        <w:spacing w:line="360" w:lineRule="auto"/>
        <w:ind w:left="426"/>
        <w:jc w:val="both"/>
        <w:rPr>
          <w:rFonts w:ascii="Arial" w:hAnsi="Arial" w:cs="Arial"/>
          <w:sz w:val="24"/>
          <w:szCs w:val="24"/>
        </w:rPr>
      </w:pPr>
      <w:r w:rsidRPr="00685A5E">
        <w:rPr>
          <w:rFonts w:ascii="Arial" w:hAnsi="Arial" w:cs="Arial"/>
          <w:sz w:val="24"/>
          <w:szCs w:val="24"/>
        </w:rPr>
        <w:t>Perubahan yang terjadi dengan teknologi, terutama dalam hal layanan jasa keuangan yang terus dikembangkan oleh sektor perbankan, semakin memudahkan  transaksi-transaksi keuangan, sehingga mobilisasi orang dalam transaksi keuangan semakin rendah, namun diasumsikan sebaliknya transaksi keuangan semakin tinggi dan lintas wilayah batas dan waktu.</w:t>
      </w:r>
    </w:p>
    <w:p w:rsidR="00FA0633" w:rsidRPr="00685A5E" w:rsidRDefault="00402B20" w:rsidP="00B95F68">
      <w:pPr>
        <w:spacing w:after="0" w:line="360" w:lineRule="auto"/>
        <w:jc w:val="both"/>
        <w:rPr>
          <w:rFonts w:ascii="Arial" w:hAnsi="Arial" w:cs="Arial"/>
          <w:b/>
          <w:sz w:val="24"/>
          <w:szCs w:val="24"/>
        </w:rPr>
      </w:pPr>
      <w:r>
        <w:rPr>
          <w:rFonts w:ascii="Arial" w:hAnsi="Arial" w:cs="Arial"/>
          <w:b/>
          <w:sz w:val="24"/>
          <w:szCs w:val="24"/>
        </w:rPr>
        <w:t xml:space="preserve">Analisis </w:t>
      </w:r>
      <w:r w:rsidR="00FA0633" w:rsidRPr="00685A5E">
        <w:rPr>
          <w:rFonts w:ascii="Arial" w:hAnsi="Arial" w:cs="Arial"/>
          <w:b/>
          <w:sz w:val="24"/>
          <w:szCs w:val="24"/>
        </w:rPr>
        <w:t xml:space="preserve">Lingkungan </w:t>
      </w:r>
      <w:r w:rsidR="00685A5E" w:rsidRPr="00685A5E">
        <w:rPr>
          <w:rFonts w:ascii="Arial" w:hAnsi="Arial" w:cs="Arial"/>
          <w:b/>
          <w:sz w:val="24"/>
          <w:szCs w:val="24"/>
        </w:rPr>
        <w:t>Internal Perusahaan</w:t>
      </w:r>
    </w:p>
    <w:p w:rsidR="00685A5E" w:rsidRDefault="00685A5E" w:rsidP="00B95F68">
      <w:pPr>
        <w:spacing w:line="360" w:lineRule="auto"/>
        <w:ind w:firstLine="567"/>
        <w:jc w:val="both"/>
        <w:rPr>
          <w:rFonts w:ascii="Arial" w:hAnsi="Arial" w:cs="Arial"/>
          <w:sz w:val="24"/>
          <w:szCs w:val="24"/>
          <w:lang w:val="es-ES_tradnl"/>
        </w:rPr>
      </w:pPr>
      <w:r>
        <w:rPr>
          <w:rFonts w:ascii="Arial" w:hAnsi="Arial" w:cs="Arial"/>
          <w:sz w:val="24"/>
          <w:szCs w:val="24"/>
          <w:lang w:val="es-ES_tradnl"/>
        </w:rPr>
        <w:t xml:space="preserve">Sebagai sebuah perusahaan jasa keuangan dan pembiayaan, SJV harus memiliki aset stratejik yang kuat, yakni berupa Sumber Daya Modal (uang) yang berkesinambungan dan Sumber Daya Manusia yang kompeten. </w:t>
      </w:r>
      <w:r w:rsidR="00CF2D1B">
        <w:rPr>
          <w:rFonts w:ascii="Arial" w:hAnsi="Arial" w:cs="Arial"/>
          <w:sz w:val="24"/>
          <w:szCs w:val="24"/>
          <w:lang w:val="es-ES_tradnl"/>
        </w:rPr>
        <w:t xml:space="preserve">Selain itu, SJV juga harus memiliki kemampuan penyaluran investasi dan pemanfaatan seluruh aset stratejik yang dimilikinya dengan efektif dan efisien. </w:t>
      </w:r>
      <w:r>
        <w:rPr>
          <w:rFonts w:ascii="Arial" w:hAnsi="Arial" w:cs="Arial"/>
          <w:sz w:val="24"/>
          <w:szCs w:val="24"/>
          <w:lang w:val="es-ES_tradnl"/>
        </w:rPr>
        <w:t xml:space="preserve">Berdasarkan hal tersebut, analisa </w:t>
      </w:r>
      <w:r w:rsidR="00CF2D1B">
        <w:rPr>
          <w:rFonts w:ascii="Arial" w:hAnsi="Arial" w:cs="Arial"/>
          <w:sz w:val="24"/>
          <w:szCs w:val="24"/>
          <w:lang w:val="es-ES_tradnl"/>
        </w:rPr>
        <w:t xml:space="preserve">dinamika lingkungan internal strategis </w:t>
      </w:r>
      <w:r>
        <w:rPr>
          <w:rFonts w:ascii="Arial" w:hAnsi="Arial" w:cs="Arial"/>
          <w:sz w:val="24"/>
          <w:szCs w:val="24"/>
          <w:lang w:val="es-ES_tradnl"/>
        </w:rPr>
        <w:t xml:space="preserve">SJV </w:t>
      </w:r>
      <w:r w:rsidR="00CF2D1B">
        <w:rPr>
          <w:rFonts w:ascii="Arial" w:hAnsi="Arial" w:cs="Arial"/>
          <w:sz w:val="24"/>
          <w:szCs w:val="24"/>
          <w:lang w:val="es-ES_tradnl"/>
        </w:rPr>
        <w:t xml:space="preserve">yang terjadi </w:t>
      </w:r>
      <w:r>
        <w:rPr>
          <w:rFonts w:ascii="Arial" w:hAnsi="Arial" w:cs="Arial"/>
          <w:sz w:val="24"/>
          <w:szCs w:val="24"/>
          <w:lang w:val="es-ES_tradnl"/>
        </w:rPr>
        <w:t xml:space="preserve">dapat </w:t>
      </w:r>
      <w:r w:rsidR="00CF2D1B">
        <w:rPr>
          <w:rFonts w:ascii="Arial" w:hAnsi="Arial" w:cs="Arial"/>
          <w:sz w:val="24"/>
          <w:szCs w:val="24"/>
          <w:lang w:val="es-ES_tradnl"/>
        </w:rPr>
        <w:t>didefinisikan sebagai berikut:</w:t>
      </w:r>
    </w:p>
    <w:p w:rsidR="00CF2D1B" w:rsidRDefault="00CF2D1B" w:rsidP="00B95F68">
      <w:pPr>
        <w:pStyle w:val="ListParagraph"/>
        <w:numPr>
          <w:ilvl w:val="0"/>
          <w:numId w:val="17"/>
        </w:numPr>
        <w:spacing w:line="360" w:lineRule="auto"/>
        <w:jc w:val="both"/>
        <w:rPr>
          <w:rFonts w:ascii="Arial" w:hAnsi="Arial" w:cs="Arial"/>
          <w:sz w:val="24"/>
          <w:szCs w:val="24"/>
          <w:lang w:val="es-ES_tradnl"/>
        </w:rPr>
      </w:pPr>
      <w:r>
        <w:rPr>
          <w:rFonts w:ascii="Arial" w:hAnsi="Arial" w:cs="Arial"/>
          <w:sz w:val="24"/>
          <w:szCs w:val="24"/>
          <w:lang w:val="es-ES_tradnl"/>
        </w:rPr>
        <w:t>Telah dilakukannya program restrukturisa</w:t>
      </w:r>
      <w:r w:rsidR="00D208F2">
        <w:rPr>
          <w:rFonts w:ascii="Arial" w:hAnsi="Arial" w:cs="Arial"/>
          <w:sz w:val="24"/>
          <w:szCs w:val="24"/>
          <w:lang w:val="es-ES_tradnl"/>
        </w:rPr>
        <w:t>s</w:t>
      </w:r>
      <w:r>
        <w:rPr>
          <w:rFonts w:ascii="Arial" w:hAnsi="Arial" w:cs="Arial"/>
          <w:sz w:val="24"/>
          <w:szCs w:val="24"/>
          <w:lang w:val="es-ES_tradnl"/>
        </w:rPr>
        <w:t>i atas Pinjaman Jangka Panjang yang diperoleh SJV hingga tahun 2023, dengan tingkat suku bunga ringan (8,5%)</w:t>
      </w:r>
    </w:p>
    <w:p w:rsidR="00CF2D1B" w:rsidRDefault="00D208F2" w:rsidP="00B95F68">
      <w:pPr>
        <w:pStyle w:val="ListParagraph"/>
        <w:numPr>
          <w:ilvl w:val="0"/>
          <w:numId w:val="17"/>
        </w:numPr>
        <w:spacing w:line="360" w:lineRule="auto"/>
        <w:jc w:val="both"/>
        <w:rPr>
          <w:rFonts w:ascii="Arial" w:hAnsi="Arial" w:cs="Arial"/>
          <w:sz w:val="24"/>
          <w:szCs w:val="24"/>
          <w:lang w:val="es-ES_tradnl"/>
        </w:rPr>
      </w:pPr>
      <w:r>
        <w:rPr>
          <w:rFonts w:ascii="Arial" w:hAnsi="Arial" w:cs="Arial"/>
          <w:sz w:val="24"/>
          <w:szCs w:val="24"/>
          <w:lang w:val="es-ES_tradnl"/>
        </w:rPr>
        <w:t>Telah dilakukannya penandatanganan kerjasama penyaluran dana bergulir antara Lembaga Pengelola Dana Bergulir (BLU - Pemerintah) dengan SJV, untuk disalurkan kepada Usaha Mikro, Kecil, Menengah dan Koperasi.</w:t>
      </w:r>
    </w:p>
    <w:p w:rsidR="00C9308E" w:rsidRDefault="00C9308E" w:rsidP="00B95F68">
      <w:pPr>
        <w:pStyle w:val="ListParagraph"/>
        <w:numPr>
          <w:ilvl w:val="0"/>
          <w:numId w:val="17"/>
        </w:numPr>
        <w:spacing w:line="360" w:lineRule="auto"/>
        <w:jc w:val="both"/>
        <w:rPr>
          <w:rFonts w:ascii="Arial" w:hAnsi="Arial" w:cs="Arial"/>
          <w:sz w:val="24"/>
          <w:szCs w:val="24"/>
          <w:lang w:val="es-ES_tradnl"/>
        </w:rPr>
      </w:pPr>
      <w:r>
        <w:rPr>
          <w:rFonts w:ascii="Arial" w:hAnsi="Arial" w:cs="Arial"/>
          <w:sz w:val="24"/>
          <w:szCs w:val="24"/>
          <w:lang w:val="es-ES_tradnl"/>
        </w:rPr>
        <w:t xml:space="preserve">Telah dilakukannya penandatanganan kerjasama penyaluran dana Program Kemitraan dan Bina Lingkungan (PKBL), yang merupakan dana </w:t>
      </w:r>
      <w:r w:rsidRPr="00C9308E">
        <w:rPr>
          <w:rFonts w:ascii="Arial" w:hAnsi="Arial" w:cs="Arial"/>
          <w:i/>
          <w:sz w:val="24"/>
          <w:szCs w:val="24"/>
          <w:lang w:val="es-ES_tradnl"/>
        </w:rPr>
        <w:t>Corporate Social Responsibility</w:t>
      </w:r>
      <w:r>
        <w:rPr>
          <w:rFonts w:ascii="Arial" w:hAnsi="Arial" w:cs="Arial"/>
          <w:sz w:val="24"/>
          <w:szCs w:val="24"/>
          <w:lang w:val="es-ES_tradnl"/>
        </w:rPr>
        <w:t xml:space="preserve"> dari Badan Usaha Milik Negara (BUMN); Pertamina dan LPEI (Lembaga Pembiayaan Ekspor Indonesia) dan sekaligus penjajakan dengan piha Angkasa Pura II serta PT. Jamsostek.</w:t>
      </w:r>
    </w:p>
    <w:p w:rsidR="00D208F2" w:rsidRDefault="00C9308E" w:rsidP="00B95F68">
      <w:pPr>
        <w:pStyle w:val="ListParagraph"/>
        <w:numPr>
          <w:ilvl w:val="0"/>
          <w:numId w:val="17"/>
        </w:numPr>
        <w:spacing w:line="360" w:lineRule="auto"/>
        <w:jc w:val="both"/>
        <w:rPr>
          <w:rFonts w:ascii="Arial" w:hAnsi="Arial" w:cs="Arial"/>
          <w:sz w:val="24"/>
          <w:szCs w:val="24"/>
          <w:lang w:val="es-ES_tradnl"/>
        </w:rPr>
      </w:pPr>
      <w:r>
        <w:rPr>
          <w:rFonts w:ascii="Arial" w:hAnsi="Arial" w:cs="Arial"/>
          <w:sz w:val="24"/>
          <w:szCs w:val="24"/>
          <w:lang w:val="es-ES_tradnl"/>
        </w:rPr>
        <w:t>Implementasi Sistem Administrasi yang baru sejak bulan September 2009, yakni SIMVATI (Sistem Informasi Modal Ventura dan Akuntansi) yang telah terintegrasi antara Sistem Pekaporan Keuangan dengan Sistem Administrasi Investasi dan terkonsolidasi dengan jaringan perusahaan modal ventura daerah seluruh Indonesia.</w:t>
      </w:r>
    </w:p>
    <w:p w:rsidR="00C9308E" w:rsidRDefault="00C9308E" w:rsidP="00B95F68">
      <w:pPr>
        <w:pStyle w:val="ListParagraph"/>
        <w:numPr>
          <w:ilvl w:val="0"/>
          <w:numId w:val="17"/>
        </w:numPr>
        <w:spacing w:line="360" w:lineRule="auto"/>
        <w:jc w:val="both"/>
        <w:rPr>
          <w:rFonts w:ascii="Arial" w:hAnsi="Arial" w:cs="Arial"/>
          <w:sz w:val="24"/>
          <w:szCs w:val="24"/>
          <w:lang w:val="es-ES_tradnl"/>
        </w:rPr>
      </w:pPr>
      <w:r>
        <w:rPr>
          <w:rFonts w:ascii="Arial" w:hAnsi="Arial" w:cs="Arial"/>
          <w:sz w:val="24"/>
          <w:szCs w:val="24"/>
          <w:lang w:val="es-ES_tradnl"/>
        </w:rPr>
        <w:t>Pembentukan Unit Mikro Ventura dengan menambah/merekrut tenaga khusus pemasaran dan survei untuk pembiayaan mikro dengan pola pembiayaan modal ventura.</w:t>
      </w:r>
    </w:p>
    <w:p w:rsidR="00C9308E" w:rsidRDefault="00C9308E" w:rsidP="00B95F68">
      <w:pPr>
        <w:pStyle w:val="ListParagraph"/>
        <w:numPr>
          <w:ilvl w:val="0"/>
          <w:numId w:val="17"/>
        </w:numPr>
        <w:spacing w:line="360" w:lineRule="auto"/>
        <w:jc w:val="both"/>
        <w:rPr>
          <w:rFonts w:ascii="Arial" w:hAnsi="Arial" w:cs="Arial"/>
          <w:sz w:val="24"/>
          <w:szCs w:val="24"/>
          <w:lang w:val="es-ES_tradnl"/>
        </w:rPr>
      </w:pPr>
      <w:r>
        <w:rPr>
          <w:rFonts w:ascii="Arial" w:hAnsi="Arial" w:cs="Arial"/>
          <w:sz w:val="24"/>
          <w:szCs w:val="24"/>
          <w:lang w:val="es-ES_tradnl"/>
        </w:rPr>
        <w:t>Pengunduran diri 4 Staf senior perusahaan sepanjang tahun 2009.</w:t>
      </w:r>
    </w:p>
    <w:p w:rsidR="00CF4F07" w:rsidRPr="00CF2D1B" w:rsidRDefault="00CF4F07" w:rsidP="00B95F68">
      <w:pPr>
        <w:pStyle w:val="ListParagraph"/>
        <w:numPr>
          <w:ilvl w:val="0"/>
          <w:numId w:val="17"/>
        </w:numPr>
        <w:spacing w:line="360" w:lineRule="auto"/>
        <w:jc w:val="both"/>
        <w:rPr>
          <w:rFonts w:ascii="Arial" w:hAnsi="Arial" w:cs="Arial"/>
          <w:sz w:val="24"/>
          <w:szCs w:val="24"/>
          <w:lang w:val="es-ES_tradnl"/>
        </w:rPr>
      </w:pPr>
      <w:r>
        <w:rPr>
          <w:rFonts w:ascii="Arial" w:hAnsi="Arial" w:cs="Arial"/>
          <w:sz w:val="24"/>
          <w:szCs w:val="24"/>
          <w:lang w:val="es-ES_tradnl"/>
        </w:rPr>
        <w:t>Peningkatan kemampuan SDM SJV dengan program sertifikasi keahlian di beberapa bidang, termasuk Desain produk TPT, Business Development dsb.</w:t>
      </w:r>
    </w:p>
    <w:p w:rsidR="002A51CE" w:rsidRPr="00C31C59" w:rsidRDefault="00402B20" w:rsidP="00B95F68">
      <w:pPr>
        <w:spacing w:line="360" w:lineRule="auto"/>
        <w:rPr>
          <w:rFonts w:ascii="Arial" w:hAnsi="Arial" w:cs="Arial"/>
          <w:b/>
          <w:sz w:val="24"/>
          <w:szCs w:val="24"/>
        </w:rPr>
      </w:pPr>
      <w:r w:rsidRPr="00C31C59">
        <w:rPr>
          <w:rFonts w:ascii="Arial" w:hAnsi="Arial" w:cs="Arial"/>
          <w:b/>
          <w:sz w:val="24"/>
          <w:szCs w:val="24"/>
        </w:rPr>
        <w:t>Hasil Analisis</w:t>
      </w:r>
    </w:p>
    <w:p w:rsidR="00402B20" w:rsidRDefault="00402B20" w:rsidP="00B95F68">
      <w:pPr>
        <w:spacing w:line="360" w:lineRule="auto"/>
        <w:jc w:val="both"/>
        <w:rPr>
          <w:rFonts w:ascii="Arial" w:hAnsi="Arial" w:cs="Arial"/>
          <w:sz w:val="24"/>
          <w:szCs w:val="24"/>
        </w:rPr>
      </w:pPr>
      <w:r>
        <w:rPr>
          <w:rFonts w:ascii="Arial" w:hAnsi="Arial" w:cs="Arial"/>
          <w:sz w:val="24"/>
          <w:szCs w:val="24"/>
        </w:rPr>
        <w:t xml:space="preserve">Berdasarkan hasil analisis lingkungan eksternal </w:t>
      </w:r>
      <w:r w:rsidR="00C31C59">
        <w:rPr>
          <w:rFonts w:ascii="Arial" w:hAnsi="Arial" w:cs="Arial"/>
          <w:sz w:val="24"/>
          <w:szCs w:val="24"/>
        </w:rPr>
        <w:t xml:space="preserve">dan eksternal </w:t>
      </w:r>
      <w:r>
        <w:rPr>
          <w:rFonts w:ascii="Arial" w:hAnsi="Arial" w:cs="Arial"/>
          <w:sz w:val="24"/>
          <w:szCs w:val="24"/>
        </w:rPr>
        <w:t>perusahaan</w:t>
      </w:r>
      <w:r w:rsidR="00C31C59">
        <w:rPr>
          <w:rFonts w:ascii="Arial" w:hAnsi="Arial" w:cs="Arial"/>
          <w:sz w:val="24"/>
          <w:szCs w:val="24"/>
        </w:rPr>
        <w:t xml:space="preserve"> dengan menggunakan I-E Matrix</w:t>
      </w:r>
      <w:r>
        <w:rPr>
          <w:rFonts w:ascii="Arial" w:hAnsi="Arial" w:cs="Arial"/>
          <w:sz w:val="24"/>
          <w:szCs w:val="24"/>
        </w:rPr>
        <w:t xml:space="preserve">, posisi perusahaan </w:t>
      </w:r>
      <w:r w:rsidR="00C31C59">
        <w:rPr>
          <w:rFonts w:ascii="Arial" w:hAnsi="Arial" w:cs="Arial"/>
          <w:sz w:val="24"/>
          <w:szCs w:val="24"/>
        </w:rPr>
        <w:t>berada di kuadran 2</w:t>
      </w:r>
      <w:r w:rsidR="00125FF0">
        <w:rPr>
          <w:rFonts w:ascii="Arial" w:hAnsi="Arial" w:cs="Arial"/>
          <w:sz w:val="24"/>
          <w:szCs w:val="24"/>
        </w:rPr>
        <w:t xml:space="preserve"> dengan koordinat (2,85 dan 3,20)</w:t>
      </w:r>
      <w:r w:rsidR="00C31C59">
        <w:rPr>
          <w:rFonts w:ascii="Arial" w:hAnsi="Arial" w:cs="Arial"/>
          <w:sz w:val="24"/>
          <w:szCs w:val="24"/>
        </w:rPr>
        <w:t>, sehingga dapat dikatakan strategi yang diambil adalah dengan pengembangan dan tumbuh.</w:t>
      </w:r>
    </w:p>
    <w:p w:rsidR="00CF4F07" w:rsidRDefault="00CF4F07" w:rsidP="00B95F68">
      <w:pPr>
        <w:spacing w:after="0" w:line="360" w:lineRule="auto"/>
        <w:rPr>
          <w:rFonts w:ascii="Arial" w:hAnsi="Arial" w:cs="Arial"/>
          <w:b/>
          <w:sz w:val="24"/>
          <w:szCs w:val="24"/>
        </w:rPr>
      </w:pPr>
    </w:p>
    <w:p w:rsidR="002A51CE" w:rsidRDefault="002A51CE" w:rsidP="00B95F68">
      <w:pPr>
        <w:pStyle w:val="ListParagraph"/>
        <w:numPr>
          <w:ilvl w:val="0"/>
          <w:numId w:val="1"/>
        </w:numPr>
        <w:spacing w:line="360" w:lineRule="auto"/>
        <w:ind w:left="709" w:hanging="709"/>
        <w:jc w:val="both"/>
        <w:rPr>
          <w:rFonts w:ascii="Arial" w:hAnsi="Arial" w:cs="Arial"/>
          <w:b/>
          <w:sz w:val="24"/>
          <w:szCs w:val="24"/>
        </w:rPr>
      </w:pPr>
      <w:r>
        <w:rPr>
          <w:rFonts w:ascii="Arial" w:hAnsi="Arial" w:cs="Arial"/>
          <w:b/>
          <w:sz w:val="24"/>
          <w:szCs w:val="24"/>
        </w:rPr>
        <w:t>ANALISIS LINGKUNGAN INDUSTRI</w:t>
      </w:r>
    </w:p>
    <w:p w:rsidR="002A51CE" w:rsidRPr="002A51CE" w:rsidRDefault="002A51CE" w:rsidP="00B95F68">
      <w:pPr>
        <w:spacing w:line="360" w:lineRule="auto"/>
        <w:jc w:val="both"/>
        <w:rPr>
          <w:rFonts w:ascii="Arial" w:hAnsi="Arial" w:cs="Arial"/>
          <w:sz w:val="24"/>
          <w:szCs w:val="24"/>
        </w:rPr>
      </w:pPr>
      <w:r w:rsidRPr="002A51CE">
        <w:rPr>
          <w:rFonts w:ascii="Arial" w:hAnsi="Arial" w:cs="Arial"/>
          <w:sz w:val="24"/>
          <w:szCs w:val="24"/>
        </w:rPr>
        <w:t>Dalam analisa lingkungan industri ini, dilakukan dengan menggunakan pendekatan “Five Forces Framework”, seperti yang tergambar di bawah ini:</w:t>
      </w:r>
    </w:p>
    <w:p w:rsidR="002A51CE" w:rsidRDefault="002A51CE" w:rsidP="00B95F68">
      <w:pPr>
        <w:spacing w:line="360" w:lineRule="auto"/>
        <w:rPr>
          <w:rFonts w:ascii="Arial" w:hAnsi="Arial" w:cs="Arial"/>
          <w:sz w:val="20"/>
          <w:szCs w:val="20"/>
        </w:rPr>
      </w:pPr>
      <w:r w:rsidRPr="002A51CE">
        <w:rPr>
          <w:rFonts w:ascii="Arial" w:hAnsi="Arial" w:cs="Arial"/>
          <w:noProof/>
          <w:sz w:val="24"/>
          <w:szCs w:val="24"/>
        </w:rPr>
        <w:drawing>
          <wp:inline distT="0" distB="0" distL="0" distR="0">
            <wp:extent cx="3381375" cy="3390900"/>
            <wp:effectExtent l="19050" t="0" r="9525" b="0"/>
            <wp:docPr id="4" name="Picture 1" descr="C02NF05"/>
            <wp:cNvGraphicFramePr/>
            <a:graphic xmlns:a="http://schemas.openxmlformats.org/drawingml/2006/main">
              <a:graphicData uri="http://schemas.openxmlformats.org/drawingml/2006/picture">
                <pic:pic xmlns:pic="http://schemas.openxmlformats.org/drawingml/2006/picture">
                  <pic:nvPicPr>
                    <pic:cNvPr id="203787" name="Picture 1035" descr="C02NF05"/>
                    <pic:cNvPicPr>
                      <a:picLocks noChangeAspect="1" noChangeArrowheads="1"/>
                    </pic:cNvPicPr>
                  </pic:nvPicPr>
                  <pic:blipFill>
                    <a:blip r:embed="rId11"/>
                    <a:srcRect/>
                    <a:stretch>
                      <a:fillRect/>
                    </a:stretch>
                  </pic:blipFill>
                  <pic:spPr bwMode="auto">
                    <a:xfrm>
                      <a:off x="0" y="0"/>
                      <a:ext cx="3380254" cy="3389776"/>
                    </a:xfrm>
                    <a:prstGeom prst="rect">
                      <a:avLst/>
                    </a:prstGeom>
                    <a:noFill/>
                  </pic:spPr>
                </pic:pic>
              </a:graphicData>
            </a:graphic>
          </wp:inline>
        </w:drawing>
      </w:r>
      <w:r w:rsidRPr="002A51CE">
        <w:rPr>
          <w:rFonts w:ascii="Arial" w:hAnsi="Arial" w:cs="Arial"/>
          <w:i/>
          <w:iCs/>
          <w:sz w:val="20"/>
          <w:szCs w:val="20"/>
        </w:rPr>
        <w:t xml:space="preserve"> Source:</w:t>
      </w:r>
      <w:r w:rsidRPr="002A51CE">
        <w:rPr>
          <w:rFonts w:ascii="Arial" w:hAnsi="Arial" w:cs="Arial"/>
          <w:sz w:val="20"/>
          <w:szCs w:val="20"/>
        </w:rPr>
        <w:t xml:space="preserve"> Adapted from M.E. Porter, </w:t>
      </w:r>
      <w:r w:rsidRPr="002A51CE">
        <w:rPr>
          <w:rFonts w:ascii="Arial" w:hAnsi="Arial" w:cs="Arial"/>
          <w:i/>
          <w:iCs/>
          <w:sz w:val="20"/>
          <w:szCs w:val="20"/>
        </w:rPr>
        <w:t>Competitive Strategy:</w:t>
      </w:r>
      <w:r w:rsidRPr="002A51CE">
        <w:rPr>
          <w:rFonts w:ascii="Arial" w:hAnsi="Arial" w:cs="Arial"/>
          <w:sz w:val="20"/>
          <w:szCs w:val="20"/>
        </w:rPr>
        <w:t xml:space="preserve"> </w:t>
      </w:r>
      <w:r w:rsidRPr="002A51CE">
        <w:rPr>
          <w:rFonts w:ascii="Arial" w:hAnsi="Arial" w:cs="Arial"/>
          <w:i/>
          <w:iCs/>
          <w:sz w:val="20"/>
          <w:szCs w:val="20"/>
        </w:rPr>
        <w:t>Techniques for Analyzing Industries and Competitors</w:t>
      </w:r>
      <w:r w:rsidRPr="002A51CE">
        <w:rPr>
          <w:rFonts w:ascii="Arial" w:hAnsi="Arial" w:cs="Arial"/>
          <w:sz w:val="20"/>
          <w:szCs w:val="20"/>
        </w:rPr>
        <w:t xml:space="preserve"> © 1980</w:t>
      </w:r>
    </w:p>
    <w:p w:rsidR="002A51CE" w:rsidRPr="00675CF4" w:rsidRDefault="00675CF4" w:rsidP="00B95F68">
      <w:pPr>
        <w:pStyle w:val="ListParagraph"/>
        <w:numPr>
          <w:ilvl w:val="0"/>
          <w:numId w:val="20"/>
        </w:numPr>
        <w:spacing w:line="360" w:lineRule="auto"/>
        <w:jc w:val="both"/>
        <w:rPr>
          <w:rFonts w:ascii="Arial" w:hAnsi="Arial" w:cs="Arial"/>
          <w:sz w:val="24"/>
          <w:szCs w:val="24"/>
        </w:rPr>
      </w:pPr>
      <w:r w:rsidRPr="00675CF4">
        <w:rPr>
          <w:rFonts w:ascii="Arial" w:hAnsi="Arial" w:cs="Arial"/>
          <w:sz w:val="24"/>
          <w:szCs w:val="24"/>
        </w:rPr>
        <w:t>Ancaman Pendatang Baru (</w:t>
      </w:r>
      <w:r w:rsidRPr="00675CF4">
        <w:rPr>
          <w:rFonts w:ascii="Arial" w:hAnsi="Arial" w:cs="Arial"/>
          <w:i/>
          <w:sz w:val="24"/>
          <w:szCs w:val="24"/>
        </w:rPr>
        <w:t>Entry Barrier – Potential Entrants</w:t>
      </w:r>
      <w:r w:rsidRPr="00675CF4">
        <w:rPr>
          <w:rFonts w:ascii="Arial" w:hAnsi="Arial" w:cs="Arial"/>
          <w:sz w:val="24"/>
          <w:szCs w:val="24"/>
        </w:rPr>
        <w:t>)</w:t>
      </w:r>
    </w:p>
    <w:p w:rsidR="006313B5" w:rsidRDefault="006313B5"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Skala ekonomi untuk masuk ke dalam usaha ini cukup besar, meskipun masih mungkin untuk masuk dengan modal di bawah sektor perbankan. Namun, dengan kondisi demikian lebih menarik untuk membuat Bank Perkreditan Rakyat yang bisa mendapatkan dana pihak ketiga dari masyarakat.</w:t>
      </w:r>
    </w:p>
    <w:p w:rsidR="00675CF4" w:rsidRDefault="006313B5"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 xml:space="preserve">Akses ke dana pemerintah tidak </w:t>
      </w:r>
      <w:r w:rsidR="0094265F">
        <w:rPr>
          <w:rFonts w:ascii="Arial" w:hAnsi="Arial" w:cs="Arial"/>
          <w:sz w:val="24"/>
          <w:szCs w:val="24"/>
        </w:rPr>
        <w:t>semua perusahaan modal ventura di luar jaringan perusahaan modal ventura dapat melakukannya, hal ini karena adanya pinjaman langsung dana pemerintah dari pinjaman JEXIM Bank.</w:t>
      </w:r>
    </w:p>
    <w:p w:rsidR="0094265F" w:rsidRDefault="0094265F"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Memerlukan learning curve dan jejaring yang cukup lama untuk sampai kepada posisi jaringan perusahaan modal ventura daerah.</w:t>
      </w:r>
    </w:p>
    <w:p w:rsidR="0094265F" w:rsidRPr="00675CF4" w:rsidRDefault="0094265F" w:rsidP="00B95F68">
      <w:pPr>
        <w:pStyle w:val="ListParagraph"/>
        <w:spacing w:line="360" w:lineRule="auto"/>
        <w:ind w:left="1506"/>
        <w:jc w:val="both"/>
        <w:rPr>
          <w:rFonts w:ascii="Arial" w:hAnsi="Arial" w:cs="Arial"/>
          <w:sz w:val="24"/>
          <w:szCs w:val="24"/>
        </w:rPr>
      </w:pPr>
    </w:p>
    <w:p w:rsidR="00675CF4" w:rsidRDefault="00675CF4" w:rsidP="00B95F68">
      <w:pPr>
        <w:pStyle w:val="ListParagraph"/>
        <w:numPr>
          <w:ilvl w:val="0"/>
          <w:numId w:val="20"/>
        </w:numPr>
        <w:spacing w:line="360" w:lineRule="auto"/>
        <w:jc w:val="both"/>
        <w:rPr>
          <w:rFonts w:ascii="Arial" w:hAnsi="Arial" w:cs="Arial"/>
          <w:sz w:val="24"/>
          <w:szCs w:val="24"/>
        </w:rPr>
      </w:pPr>
      <w:r w:rsidRPr="00675CF4">
        <w:rPr>
          <w:rFonts w:ascii="Arial" w:hAnsi="Arial" w:cs="Arial"/>
          <w:sz w:val="24"/>
          <w:szCs w:val="24"/>
        </w:rPr>
        <w:t>Ancaman Produk &amp; Jasa Pengganti (</w:t>
      </w:r>
      <w:r w:rsidRPr="00675CF4">
        <w:rPr>
          <w:rFonts w:ascii="Arial" w:hAnsi="Arial" w:cs="Arial"/>
          <w:i/>
          <w:sz w:val="24"/>
          <w:szCs w:val="24"/>
        </w:rPr>
        <w:t>Subtitutes</w:t>
      </w:r>
      <w:r w:rsidRPr="00675CF4">
        <w:rPr>
          <w:rFonts w:ascii="Arial" w:hAnsi="Arial" w:cs="Arial"/>
          <w:sz w:val="24"/>
          <w:szCs w:val="24"/>
        </w:rPr>
        <w:t>)</w:t>
      </w:r>
    </w:p>
    <w:p w:rsidR="0094265F" w:rsidRDefault="0094265F"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Cukup banyak produk pengganti untuk pembiayaan modal ventura, seperti kredit perbankan, pembiayaan mikro dan pembiayaan dari BPR atau sejenisnya.</w:t>
      </w:r>
    </w:p>
    <w:p w:rsidR="0094265F" w:rsidRDefault="0094265F"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Take over pembiayaan jika konsumen sudah menjadi “bankable”, menjadikan ancaman dari produk pengganti ini menjadi sangat beresiko bagi pembiayaan modal ventura kehilangan pelanggannya.</w:t>
      </w:r>
    </w:p>
    <w:p w:rsidR="0094265F" w:rsidRPr="0094265F" w:rsidRDefault="0094265F" w:rsidP="00B95F68">
      <w:pPr>
        <w:pStyle w:val="ListParagraph"/>
        <w:spacing w:line="360" w:lineRule="auto"/>
        <w:ind w:left="1506"/>
        <w:jc w:val="both"/>
        <w:rPr>
          <w:rFonts w:ascii="Arial" w:hAnsi="Arial" w:cs="Arial"/>
          <w:sz w:val="24"/>
          <w:szCs w:val="24"/>
        </w:rPr>
      </w:pPr>
    </w:p>
    <w:p w:rsidR="00675CF4" w:rsidRDefault="00675CF4" w:rsidP="00B95F68">
      <w:pPr>
        <w:pStyle w:val="ListParagraph"/>
        <w:numPr>
          <w:ilvl w:val="0"/>
          <w:numId w:val="20"/>
        </w:numPr>
        <w:spacing w:line="360" w:lineRule="auto"/>
        <w:jc w:val="both"/>
        <w:rPr>
          <w:rFonts w:ascii="Arial" w:hAnsi="Arial" w:cs="Arial"/>
          <w:sz w:val="24"/>
          <w:szCs w:val="24"/>
        </w:rPr>
      </w:pPr>
      <w:r w:rsidRPr="00675CF4">
        <w:rPr>
          <w:rFonts w:ascii="Arial" w:hAnsi="Arial" w:cs="Arial"/>
          <w:sz w:val="24"/>
          <w:szCs w:val="24"/>
        </w:rPr>
        <w:t>Ancaman Posisi Menawar dari Konsumen (</w:t>
      </w:r>
      <w:r w:rsidRPr="00675CF4">
        <w:rPr>
          <w:rFonts w:ascii="Arial" w:hAnsi="Arial" w:cs="Arial"/>
          <w:i/>
          <w:sz w:val="24"/>
          <w:szCs w:val="24"/>
        </w:rPr>
        <w:t>Buyer</w:t>
      </w:r>
      <w:r w:rsidRPr="00675CF4">
        <w:rPr>
          <w:rFonts w:ascii="Arial" w:hAnsi="Arial" w:cs="Arial"/>
          <w:sz w:val="24"/>
          <w:szCs w:val="24"/>
        </w:rPr>
        <w:t>)</w:t>
      </w:r>
    </w:p>
    <w:p w:rsidR="00F7491B" w:rsidRDefault="00F7491B"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Ancaman posisi menawar dari konsumen sangat tinggi, hal ini dikarenakan, banyak perusahaan pembiayaan baik perbankan maupun non perbankan yang ada dan menjadi sumber supllier. Selain itu, untuk mengalihkan penggunaan produk sangat mudah dan murah.</w:t>
      </w:r>
    </w:p>
    <w:p w:rsidR="00F7491B" w:rsidRDefault="00F7491B"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Aspek harga jual jasa sangat tergantung dari biaya dana yang diperoleh SJV, sehingga ketergantungan atas dana murah sangat tinggi agar dapat diterima oleh pasar.</w:t>
      </w:r>
    </w:p>
    <w:p w:rsidR="00F7491B" w:rsidRPr="00675CF4" w:rsidRDefault="00F7491B" w:rsidP="00B95F68">
      <w:pPr>
        <w:pStyle w:val="ListParagraph"/>
        <w:spacing w:line="360" w:lineRule="auto"/>
        <w:ind w:left="1506"/>
        <w:jc w:val="both"/>
        <w:rPr>
          <w:rFonts w:ascii="Arial" w:hAnsi="Arial" w:cs="Arial"/>
          <w:sz w:val="24"/>
          <w:szCs w:val="24"/>
        </w:rPr>
      </w:pPr>
    </w:p>
    <w:p w:rsidR="00B95F68" w:rsidRDefault="00B95F68">
      <w:pPr>
        <w:spacing w:after="0" w:line="240" w:lineRule="auto"/>
        <w:rPr>
          <w:rFonts w:ascii="Arial" w:hAnsi="Arial" w:cs="Arial"/>
          <w:sz w:val="24"/>
          <w:szCs w:val="24"/>
        </w:rPr>
      </w:pPr>
      <w:r>
        <w:rPr>
          <w:rFonts w:ascii="Arial" w:hAnsi="Arial" w:cs="Arial"/>
          <w:sz w:val="24"/>
          <w:szCs w:val="24"/>
        </w:rPr>
        <w:br w:type="page"/>
      </w:r>
    </w:p>
    <w:p w:rsidR="00675CF4" w:rsidRDefault="00675CF4" w:rsidP="00B95F68">
      <w:pPr>
        <w:pStyle w:val="ListParagraph"/>
        <w:numPr>
          <w:ilvl w:val="0"/>
          <w:numId w:val="20"/>
        </w:numPr>
        <w:spacing w:line="360" w:lineRule="auto"/>
        <w:rPr>
          <w:rFonts w:ascii="Arial" w:hAnsi="Arial" w:cs="Arial"/>
          <w:sz w:val="24"/>
          <w:szCs w:val="24"/>
        </w:rPr>
      </w:pPr>
      <w:r w:rsidRPr="00675CF4">
        <w:rPr>
          <w:rFonts w:ascii="Arial" w:hAnsi="Arial" w:cs="Arial"/>
          <w:sz w:val="24"/>
          <w:szCs w:val="24"/>
        </w:rPr>
        <w:t>Ancaman Posisi Menawar dari Pemilik Dana/Kreditur/Investor (</w:t>
      </w:r>
      <w:r w:rsidRPr="00675CF4">
        <w:rPr>
          <w:rFonts w:ascii="Arial" w:hAnsi="Arial" w:cs="Arial"/>
          <w:i/>
          <w:sz w:val="24"/>
          <w:szCs w:val="24"/>
        </w:rPr>
        <w:t>Supplier</w:t>
      </w:r>
      <w:r w:rsidRPr="00675CF4">
        <w:rPr>
          <w:rFonts w:ascii="Arial" w:hAnsi="Arial" w:cs="Arial"/>
          <w:sz w:val="24"/>
          <w:szCs w:val="24"/>
        </w:rPr>
        <w:t>)</w:t>
      </w:r>
    </w:p>
    <w:p w:rsidR="00F7491B" w:rsidRDefault="00F7491B"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 xml:space="preserve">Supplier/Pemilik dana atas modal yang dimiliki SJV terkonsentrasi dari dana pemerintah, namun belakangan mulai memperbanyak supplier dengan biaya dana yang lebih </w:t>
      </w:r>
      <w:r w:rsidR="00137CEA">
        <w:rPr>
          <w:rFonts w:ascii="Arial" w:hAnsi="Arial" w:cs="Arial"/>
          <w:sz w:val="24"/>
          <w:szCs w:val="24"/>
        </w:rPr>
        <w:t>tinggi. Namun, bagi SJV sulit untuk memperoleh kembali dana pemerintah yang berupa soft loan serta adanya kemungkinan LPDB membuka jaringan di setiap propinsi untuk dapat langsung disalurkan kepada konsumen.</w:t>
      </w:r>
    </w:p>
    <w:p w:rsidR="00137CEA" w:rsidRPr="00675CF4" w:rsidRDefault="00137CEA" w:rsidP="00B95F68">
      <w:pPr>
        <w:pStyle w:val="ListParagraph"/>
        <w:spacing w:line="360" w:lineRule="auto"/>
        <w:ind w:left="1506"/>
        <w:rPr>
          <w:rFonts w:ascii="Arial" w:hAnsi="Arial" w:cs="Arial"/>
          <w:sz w:val="24"/>
          <w:szCs w:val="24"/>
        </w:rPr>
      </w:pPr>
    </w:p>
    <w:p w:rsidR="00137CEA" w:rsidRPr="00137CEA" w:rsidRDefault="00675CF4" w:rsidP="00B95F68">
      <w:pPr>
        <w:pStyle w:val="ListParagraph"/>
        <w:numPr>
          <w:ilvl w:val="0"/>
          <w:numId w:val="20"/>
        </w:numPr>
        <w:spacing w:line="360" w:lineRule="auto"/>
        <w:jc w:val="both"/>
        <w:rPr>
          <w:rFonts w:ascii="Arial" w:hAnsi="Arial" w:cs="Arial"/>
          <w:sz w:val="24"/>
          <w:szCs w:val="24"/>
        </w:rPr>
      </w:pPr>
      <w:r w:rsidRPr="00137CEA">
        <w:rPr>
          <w:rFonts w:ascii="Arial" w:hAnsi="Arial" w:cs="Arial"/>
          <w:sz w:val="24"/>
          <w:szCs w:val="24"/>
        </w:rPr>
        <w:t>Persaingan Rivalitas dalam Industri Keuangan (</w:t>
      </w:r>
      <w:r w:rsidRPr="00137CEA">
        <w:rPr>
          <w:rFonts w:ascii="Arial" w:hAnsi="Arial" w:cs="Arial"/>
          <w:i/>
          <w:sz w:val="24"/>
          <w:szCs w:val="24"/>
        </w:rPr>
        <w:t>Competitive Rivalry</w:t>
      </w:r>
      <w:r w:rsidRPr="00137CEA">
        <w:rPr>
          <w:rFonts w:ascii="Arial" w:hAnsi="Arial" w:cs="Arial"/>
          <w:sz w:val="24"/>
          <w:szCs w:val="24"/>
        </w:rPr>
        <w:t>)</w:t>
      </w:r>
      <w:r w:rsidR="00137CEA" w:rsidRPr="00137CEA">
        <w:rPr>
          <w:rFonts w:ascii="Arial" w:hAnsi="Arial" w:cs="Arial"/>
          <w:sz w:val="24"/>
          <w:szCs w:val="24"/>
        </w:rPr>
        <w:t>,</w:t>
      </w:r>
      <w:r w:rsidR="00137CEA">
        <w:rPr>
          <w:rFonts w:ascii="Arial" w:hAnsi="Arial" w:cs="Arial"/>
          <w:sz w:val="24"/>
          <w:szCs w:val="24"/>
        </w:rPr>
        <w:t xml:space="preserve"> p</w:t>
      </w:r>
      <w:r w:rsidR="00137CEA" w:rsidRPr="00137CEA">
        <w:rPr>
          <w:rFonts w:ascii="Arial" w:hAnsi="Arial" w:cs="Arial"/>
          <w:sz w:val="24"/>
          <w:szCs w:val="24"/>
        </w:rPr>
        <w:t>ersaingan dalam industri keuangan, dapat dibagi menjadi 2 (dua):</w:t>
      </w:r>
    </w:p>
    <w:p w:rsidR="00137CEA" w:rsidRDefault="00137CEA"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Pesaing langsung : Perusahaan Modal Ventura di luar jaringan perusahaan modal ventura daerah, PT. PNM Venture (ULAM), BPR dan Perbankan Mikro (DSP, BTPN Mikro, Swamitra dll)</w:t>
      </w:r>
    </w:p>
    <w:p w:rsidR="00137CEA" w:rsidRDefault="00137CEA" w:rsidP="00B95F68">
      <w:pPr>
        <w:pStyle w:val="ListParagraph"/>
        <w:numPr>
          <w:ilvl w:val="1"/>
          <w:numId w:val="17"/>
        </w:numPr>
        <w:spacing w:line="360" w:lineRule="auto"/>
        <w:jc w:val="both"/>
        <w:rPr>
          <w:rFonts w:ascii="Arial" w:hAnsi="Arial" w:cs="Arial"/>
          <w:sz w:val="24"/>
          <w:szCs w:val="24"/>
        </w:rPr>
      </w:pPr>
      <w:r>
        <w:rPr>
          <w:rFonts w:ascii="Arial" w:hAnsi="Arial" w:cs="Arial"/>
          <w:sz w:val="24"/>
          <w:szCs w:val="24"/>
        </w:rPr>
        <w:t>Pesaing tidak langsung : Bank Komersial – konvensional &amp; Syariah (Mandiri, Bank Syariah Mandiri, BNI, BNI Syariah,Bank Mega dll). Perusahaan pembiayaan Non Perbankan; Leasing, Pegadaian dll.</w:t>
      </w:r>
    </w:p>
    <w:p w:rsidR="00137CEA" w:rsidRPr="00137CEA" w:rsidRDefault="00137CEA" w:rsidP="00B95F68">
      <w:pPr>
        <w:spacing w:line="360" w:lineRule="auto"/>
        <w:ind w:left="1146"/>
        <w:jc w:val="both"/>
        <w:rPr>
          <w:rFonts w:ascii="Arial" w:hAnsi="Arial" w:cs="Arial"/>
          <w:sz w:val="24"/>
          <w:szCs w:val="24"/>
        </w:rPr>
      </w:pPr>
      <w:r>
        <w:rPr>
          <w:rFonts w:ascii="Arial" w:hAnsi="Arial" w:cs="Arial"/>
          <w:sz w:val="24"/>
          <w:szCs w:val="24"/>
        </w:rPr>
        <w:t>Persaingan dalam industri keuangan sangat tinggi, bahkan bisa dikatak</w:t>
      </w:r>
      <w:r w:rsidR="00402B20">
        <w:rPr>
          <w:rFonts w:ascii="Arial" w:hAnsi="Arial" w:cs="Arial"/>
          <w:sz w:val="24"/>
          <w:szCs w:val="24"/>
        </w:rPr>
        <w:t>an</w:t>
      </w:r>
      <w:r>
        <w:rPr>
          <w:rFonts w:ascii="Arial" w:hAnsi="Arial" w:cs="Arial"/>
          <w:sz w:val="24"/>
          <w:szCs w:val="24"/>
        </w:rPr>
        <w:t xml:space="preserve"> sudah memasuki </w:t>
      </w:r>
      <w:r w:rsidRPr="00137CEA">
        <w:rPr>
          <w:rFonts w:ascii="Arial" w:hAnsi="Arial" w:cs="Arial"/>
          <w:i/>
          <w:sz w:val="24"/>
          <w:szCs w:val="24"/>
        </w:rPr>
        <w:t>hypercompetition</w:t>
      </w:r>
      <w:r>
        <w:rPr>
          <w:rFonts w:ascii="Arial" w:hAnsi="Arial" w:cs="Arial"/>
          <w:sz w:val="24"/>
          <w:szCs w:val="24"/>
        </w:rPr>
        <w:t>, dimana struktur pasa</w:t>
      </w:r>
      <w:r w:rsidR="00402B20">
        <w:rPr>
          <w:rFonts w:ascii="Arial" w:hAnsi="Arial" w:cs="Arial"/>
          <w:sz w:val="24"/>
          <w:szCs w:val="24"/>
        </w:rPr>
        <w:t>r</w:t>
      </w:r>
      <w:r>
        <w:rPr>
          <w:rFonts w:ascii="Arial" w:hAnsi="Arial" w:cs="Arial"/>
          <w:sz w:val="24"/>
          <w:szCs w:val="24"/>
        </w:rPr>
        <w:t xml:space="preserve"> yang terjadi menjadi pasar persaingan sempurna, dimana </w:t>
      </w:r>
      <w:r w:rsidR="00402B20">
        <w:rPr>
          <w:rFonts w:ascii="Arial" w:hAnsi="Arial" w:cs="Arial"/>
          <w:sz w:val="24"/>
          <w:szCs w:val="24"/>
        </w:rPr>
        <w:t xml:space="preserve">tersedia </w:t>
      </w:r>
      <w:r>
        <w:rPr>
          <w:rFonts w:ascii="Arial" w:hAnsi="Arial" w:cs="Arial"/>
          <w:sz w:val="24"/>
          <w:szCs w:val="24"/>
        </w:rPr>
        <w:t xml:space="preserve">banyak </w:t>
      </w:r>
      <w:r w:rsidR="00402B20">
        <w:rPr>
          <w:rFonts w:ascii="Arial" w:hAnsi="Arial" w:cs="Arial"/>
          <w:sz w:val="24"/>
          <w:szCs w:val="24"/>
        </w:rPr>
        <w:t xml:space="preserve">penyedia jasanya </w:t>
      </w:r>
      <w:r>
        <w:rPr>
          <w:rFonts w:ascii="Arial" w:hAnsi="Arial" w:cs="Arial"/>
          <w:sz w:val="24"/>
          <w:szCs w:val="24"/>
        </w:rPr>
        <w:t xml:space="preserve">dan </w:t>
      </w:r>
      <w:r w:rsidR="00402B20">
        <w:rPr>
          <w:rFonts w:ascii="Arial" w:hAnsi="Arial" w:cs="Arial"/>
          <w:sz w:val="24"/>
          <w:szCs w:val="24"/>
        </w:rPr>
        <w:t>pengguna jasanya</w:t>
      </w:r>
      <w:r>
        <w:rPr>
          <w:rFonts w:ascii="Arial" w:hAnsi="Arial" w:cs="Arial"/>
          <w:sz w:val="24"/>
          <w:szCs w:val="24"/>
        </w:rPr>
        <w:t>, serta informasi yang diperoleh sangat terbuka, terutama soal harga.</w:t>
      </w:r>
      <w:r w:rsidR="00B95F68">
        <w:rPr>
          <w:rFonts w:ascii="Arial" w:hAnsi="Arial" w:cs="Arial"/>
          <w:sz w:val="24"/>
          <w:szCs w:val="24"/>
        </w:rPr>
        <w:t xml:space="preserve"> Sementara diferensiasi sangat sulit dilakukan, mengingat begitu mudah hal tersebut diduplikasi oleh pesaing/pelaku usaha sejenis.</w:t>
      </w:r>
    </w:p>
    <w:p w:rsidR="00B95F68" w:rsidRDefault="00B95F68">
      <w:pPr>
        <w:spacing w:after="0" w:line="240" w:lineRule="auto"/>
        <w:rPr>
          <w:rFonts w:ascii="Arial" w:hAnsi="Arial" w:cs="Arial"/>
          <w:b/>
          <w:sz w:val="24"/>
          <w:szCs w:val="24"/>
        </w:rPr>
      </w:pPr>
    </w:p>
    <w:p w:rsidR="00402B20" w:rsidRDefault="00402B20" w:rsidP="00B95F68">
      <w:pPr>
        <w:pStyle w:val="ListParagraph"/>
        <w:numPr>
          <w:ilvl w:val="0"/>
          <w:numId w:val="1"/>
        </w:numPr>
        <w:spacing w:line="360" w:lineRule="auto"/>
        <w:ind w:left="709" w:hanging="709"/>
        <w:jc w:val="both"/>
        <w:rPr>
          <w:rFonts w:ascii="Arial" w:hAnsi="Arial" w:cs="Arial"/>
          <w:b/>
          <w:sz w:val="24"/>
          <w:szCs w:val="24"/>
        </w:rPr>
      </w:pPr>
      <w:r>
        <w:rPr>
          <w:rFonts w:ascii="Arial" w:hAnsi="Arial" w:cs="Arial"/>
          <w:b/>
          <w:sz w:val="24"/>
          <w:szCs w:val="24"/>
        </w:rPr>
        <w:t>ANALISIS PORTOFOLIO STRATEGI</w:t>
      </w:r>
    </w:p>
    <w:p w:rsidR="00093A21" w:rsidRPr="00093A21" w:rsidRDefault="00093A21" w:rsidP="00093A21">
      <w:pPr>
        <w:spacing w:line="360" w:lineRule="auto"/>
        <w:jc w:val="both"/>
        <w:rPr>
          <w:rFonts w:ascii="Arial" w:hAnsi="Arial" w:cs="Arial"/>
          <w:b/>
          <w:sz w:val="24"/>
          <w:szCs w:val="24"/>
        </w:rPr>
      </w:pPr>
      <w:r>
        <w:rPr>
          <w:rFonts w:ascii="Arial" w:hAnsi="Arial" w:cs="Arial"/>
          <w:b/>
          <w:sz w:val="24"/>
          <w:szCs w:val="24"/>
        </w:rPr>
        <w:t>Pendekatan GE Matriks</w:t>
      </w:r>
    </w:p>
    <w:p w:rsidR="00387DF3" w:rsidRDefault="00125FF0" w:rsidP="00B95F68">
      <w:pPr>
        <w:spacing w:after="0" w:line="360" w:lineRule="auto"/>
        <w:jc w:val="both"/>
        <w:rPr>
          <w:rFonts w:ascii="Arial" w:hAnsi="Arial" w:cs="Arial"/>
          <w:sz w:val="24"/>
          <w:szCs w:val="24"/>
        </w:rPr>
      </w:pPr>
      <w:r w:rsidRPr="00125FF0">
        <w:rPr>
          <w:rFonts w:ascii="Arial" w:hAnsi="Arial" w:cs="Arial"/>
          <w:sz w:val="24"/>
          <w:szCs w:val="24"/>
        </w:rPr>
        <w:t>Analisis</w:t>
      </w:r>
      <w:r>
        <w:rPr>
          <w:rFonts w:ascii="Arial" w:hAnsi="Arial" w:cs="Arial"/>
          <w:sz w:val="24"/>
          <w:szCs w:val="24"/>
        </w:rPr>
        <w:t xml:space="preserve"> yang dilakukan dengan menggunakan pendekatan matriks GE, memandang perusahaan dari dua dimensi yaitu dimensi daya tarik industri dan kekuatan bisnis perusahaan. Dimana faktor-faktor dalam daya tarik industri </w:t>
      </w:r>
      <w:r w:rsidR="00387DF3">
        <w:rPr>
          <w:rFonts w:ascii="Arial" w:hAnsi="Arial" w:cs="Arial"/>
          <w:sz w:val="24"/>
          <w:szCs w:val="24"/>
        </w:rPr>
        <w:t>tersebut terdiri dari: besarnya pasar, laju pertumbuhan pasar, skala ekonomi, teknologi, regulasi pemerintah, dan sosial budaya masyarakat. Faktor-faktor dalam dimensi kekuatan bisnis perusahaan adalah: pangsa pasar, kualitas produk, reputasi nama, efektifitas pemasaran, kemampuan R&amp;D dan kemampuan manajemen.</w:t>
      </w:r>
    </w:p>
    <w:p w:rsidR="00B95F68" w:rsidRDefault="00387DF3" w:rsidP="00B95F68">
      <w:pPr>
        <w:spacing w:after="0" w:line="360" w:lineRule="auto"/>
        <w:jc w:val="both"/>
        <w:rPr>
          <w:rFonts w:ascii="Arial" w:hAnsi="Arial" w:cs="Arial"/>
          <w:sz w:val="24"/>
          <w:szCs w:val="24"/>
        </w:rPr>
      </w:pPr>
      <w:r>
        <w:rPr>
          <w:rFonts w:ascii="Arial" w:hAnsi="Arial" w:cs="Arial"/>
          <w:sz w:val="24"/>
          <w:szCs w:val="24"/>
        </w:rPr>
        <w:t xml:space="preserve">Sehingga </w:t>
      </w:r>
      <w:r w:rsidR="00B95F68">
        <w:rPr>
          <w:rFonts w:ascii="Arial" w:hAnsi="Arial" w:cs="Arial"/>
          <w:sz w:val="24"/>
          <w:szCs w:val="24"/>
        </w:rPr>
        <w:t>dengan analisa pendekatan GE Matrix, atas pembobotan yang dilakukan didapat hasil seperti tabel di bawah ini:</w:t>
      </w:r>
    </w:p>
    <w:p w:rsidR="00B95F68" w:rsidRDefault="00B95F68" w:rsidP="00B95F68">
      <w:pPr>
        <w:spacing w:after="0" w:line="360" w:lineRule="auto"/>
        <w:jc w:val="both"/>
        <w:rPr>
          <w:rFonts w:ascii="Arial" w:hAnsi="Arial" w:cs="Arial"/>
          <w:sz w:val="24"/>
          <w:szCs w:val="24"/>
        </w:rPr>
      </w:pPr>
    </w:p>
    <w:tbl>
      <w:tblPr>
        <w:tblW w:w="8480" w:type="dxa"/>
        <w:tblInd w:w="93" w:type="dxa"/>
        <w:tblLook w:val="04A0"/>
      </w:tblPr>
      <w:tblGrid>
        <w:gridCol w:w="960"/>
        <w:gridCol w:w="4640"/>
        <w:gridCol w:w="960"/>
        <w:gridCol w:w="960"/>
        <w:gridCol w:w="960"/>
      </w:tblGrid>
      <w:tr w:rsidR="00B95F68" w:rsidRPr="00B95F68" w:rsidTr="00B95F68">
        <w:trPr>
          <w:trHeight w:val="300"/>
        </w:trPr>
        <w:tc>
          <w:tcPr>
            <w:tcW w:w="5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F68" w:rsidRDefault="00B95F68" w:rsidP="00B95F68">
            <w:pPr>
              <w:spacing w:after="0" w:line="360" w:lineRule="auto"/>
              <w:jc w:val="center"/>
              <w:rPr>
                <w:rFonts w:eastAsia="Times New Roman"/>
                <w:b/>
                <w:bCs/>
                <w:color w:val="000000"/>
              </w:rPr>
            </w:pPr>
          </w:p>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Faktor - Faktor</w:t>
            </w:r>
          </w:p>
          <w:p w:rsidR="00B95F68" w:rsidRPr="00B95F68" w:rsidRDefault="00B95F68" w:rsidP="00B95F68">
            <w:pPr>
              <w:spacing w:after="0" w:line="360" w:lineRule="auto"/>
              <w:jc w:val="center"/>
              <w:rPr>
                <w:rFonts w:eastAsia="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Bobot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Rating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Nilai</w:t>
            </w:r>
          </w:p>
        </w:tc>
      </w:tr>
      <w:tr w:rsidR="00B95F68" w:rsidRPr="00B95F68" w:rsidTr="00B95F68">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DAYA TARIK PASAR</w:t>
            </w: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Keseluruhan Besarnya Pasar</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0,20</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4</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0,80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Laju Pertumbuhan Pasar Tahunan</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0,15</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4</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0,60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Marjin keuntungan berdasarkan time series</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0,15</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4</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0,60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Intensitas Persaingan</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0,10</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3</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0,30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Persyaratan &amp; Regulasi Pemerintah</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0,10</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2</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0,20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Persyaratan Teknologi</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0,10</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3</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0,30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Skala Ekonomi</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0,10</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2</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0,20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Sosial Budaya Masyarakat</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0,10</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4</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0,40</w:t>
            </w:r>
          </w:p>
        </w:tc>
      </w:tr>
      <w:tr w:rsidR="00B95F68" w:rsidRPr="00B95F68" w:rsidTr="00B95F68">
        <w:trPr>
          <w:trHeight w:val="300"/>
        </w:trPr>
        <w:tc>
          <w:tcPr>
            <w:tcW w:w="960" w:type="dxa"/>
            <w:vMerge/>
            <w:tcBorders>
              <w:top w:val="nil"/>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single" w:sz="4" w:space="0" w:color="auto"/>
              <w:left w:val="nil"/>
              <w:bottom w:val="single" w:sz="4" w:space="0" w:color="auto"/>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1,00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3,40</w:t>
            </w:r>
          </w:p>
        </w:tc>
      </w:tr>
      <w:tr w:rsidR="00B95F68" w:rsidRPr="00B95F68" w:rsidTr="00B95F68">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r>
      <w:tr w:rsidR="00B95F68" w:rsidRPr="00B95F68" w:rsidTr="00B95F68">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KEKUATAN BISNIS</w:t>
            </w:r>
          </w:p>
        </w:tc>
        <w:tc>
          <w:tcPr>
            <w:tcW w:w="4640" w:type="dxa"/>
            <w:tcBorders>
              <w:top w:val="single" w:sz="4" w:space="0" w:color="auto"/>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Pangsa Pasar</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0,20</w:t>
            </w:r>
          </w:p>
        </w:tc>
        <w:tc>
          <w:tcPr>
            <w:tcW w:w="960" w:type="dxa"/>
            <w:tcBorders>
              <w:top w:val="single" w:sz="4" w:space="0" w:color="auto"/>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2</w:t>
            </w:r>
          </w:p>
        </w:tc>
        <w:tc>
          <w:tcPr>
            <w:tcW w:w="960" w:type="dxa"/>
            <w:tcBorders>
              <w:top w:val="single" w:sz="4" w:space="0" w:color="auto"/>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0,40</w:t>
            </w:r>
          </w:p>
        </w:tc>
      </w:tr>
      <w:tr w:rsidR="00B95F68" w:rsidRPr="00B95F68" w:rsidTr="00B95F68">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Kualitas Produk Pembiayaan</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0,20</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4</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0,80</w:t>
            </w:r>
          </w:p>
        </w:tc>
      </w:tr>
      <w:tr w:rsidR="00B95F68" w:rsidRPr="00B95F68" w:rsidTr="00B95F68">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Reputasi Nama SJV</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0,15</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3</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0,45</w:t>
            </w:r>
          </w:p>
        </w:tc>
      </w:tr>
      <w:tr w:rsidR="00B95F68" w:rsidRPr="00B95F68" w:rsidTr="00B95F68">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Efektivitas Pemasaran</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0,15</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2</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0,30</w:t>
            </w:r>
          </w:p>
        </w:tc>
      </w:tr>
      <w:tr w:rsidR="00B95F68" w:rsidRPr="00B95F68" w:rsidTr="00B95F68">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Kemampuan R &amp; D</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0,15</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2</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0,30</w:t>
            </w:r>
          </w:p>
        </w:tc>
      </w:tr>
      <w:tr w:rsidR="00B95F68" w:rsidRPr="00B95F68" w:rsidTr="00B95F68">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Kemampuan Manajemen &amp; SDM</w:t>
            </w:r>
          </w:p>
        </w:tc>
        <w:tc>
          <w:tcPr>
            <w:tcW w:w="960" w:type="dxa"/>
            <w:tcBorders>
              <w:top w:val="nil"/>
              <w:left w:val="single" w:sz="4" w:space="0" w:color="auto"/>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0,15</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4</w:t>
            </w: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color w:val="000000"/>
              </w:rPr>
            </w:pPr>
            <w:r w:rsidRPr="00B95F68">
              <w:rPr>
                <w:rFonts w:eastAsia="Times New Roman"/>
                <w:color w:val="000000"/>
              </w:rPr>
              <w:t>0,60</w:t>
            </w:r>
          </w:p>
        </w:tc>
      </w:tr>
      <w:tr w:rsidR="00B95F68" w:rsidRPr="00B95F68" w:rsidTr="00B95F68">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B95F68" w:rsidRPr="00B95F68" w:rsidRDefault="00B95F68" w:rsidP="00B95F68">
            <w:pPr>
              <w:spacing w:after="0" w:line="360" w:lineRule="auto"/>
              <w:rPr>
                <w:rFonts w:eastAsia="Times New Roman"/>
                <w:b/>
                <w:bCs/>
                <w:color w:val="000000"/>
              </w:rPr>
            </w:pPr>
          </w:p>
        </w:tc>
        <w:tc>
          <w:tcPr>
            <w:tcW w:w="4640" w:type="dxa"/>
            <w:tcBorders>
              <w:top w:val="single" w:sz="4" w:space="0" w:color="auto"/>
              <w:left w:val="nil"/>
              <w:bottom w:val="single" w:sz="4" w:space="0" w:color="auto"/>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1,00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2,85</w:t>
            </w:r>
          </w:p>
        </w:tc>
      </w:tr>
      <w:tr w:rsidR="00B95F68" w:rsidRPr="00B95F68" w:rsidTr="00B95F6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c>
          <w:tcPr>
            <w:tcW w:w="464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B95F68" w:rsidRPr="00B95F68" w:rsidRDefault="00B95F68" w:rsidP="00B95F68">
            <w:pPr>
              <w:spacing w:after="0" w:line="360" w:lineRule="auto"/>
              <w:rPr>
                <w:rFonts w:eastAsia="Times New Roman"/>
                <w:color w:val="000000"/>
              </w:rPr>
            </w:pPr>
          </w:p>
        </w:tc>
        <w:tc>
          <w:tcPr>
            <w:tcW w:w="960" w:type="dxa"/>
            <w:tcBorders>
              <w:top w:val="nil"/>
              <w:left w:val="nil"/>
              <w:bottom w:val="nil"/>
              <w:right w:val="single" w:sz="4" w:space="0" w:color="auto"/>
            </w:tcBorders>
            <w:shd w:val="clear" w:color="auto" w:fill="auto"/>
            <w:noWrap/>
            <w:vAlign w:val="bottom"/>
            <w:hideMark/>
          </w:tcPr>
          <w:p w:rsidR="00B95F68" w:rsidRPr="00B95F68" w:rsidRDefault="00B95F68" w:rsidP="00B95F68">
            <w:pPr>
              <w:spacing w:after="0" w:line="360" w:lineRule="auto"/>
              <w:rPr>
                <w:rFonts w:eastAsia="Times New Roman"/>
                <w:color w:val="000000"/>
              </w:rPr>
            </w:pPr>
            <w:r w:rsidRPr="00B95F68">
              <w:rPr>
                <w:rFonts w:eastAsia="Times New Roman"/>
                <w:color w:val="000000"/>
              </w:rPr>
              <w:t> </w:t>
            </w:r>
          </w:p>
        </w:tc>
      </w:tr>
      <w:tr w:rsidR="00B95F68" w:rsidRPr="00B95F68" w:rsidTr="00B95F68">
        <w:trPr>
          <w:trHeight w:val="300"/>
        </w:trPr>
        <w:tc>
          <w:tcPr>
            <w:tcW w:w="5600" w:type="dxa"/>
            <w:gridSpan w:val="2"/>
            <w:tcBorders>
              <w:top w:val="single" w:sz="4" w:space="0" w:color="auto"/>
              <w:left w:val="single" w:sz="4" w:space="0" w:color="auto"/>
              <w:bottom w:val="single" w:sz="4" w:space="0" w:color="auto"/>
              <w:right w:val="nil"/>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Posisi Koordinat</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95F68" w:rsidRPr="00B95F68" w:rsidRDefault="00B95F68" w:rsidP="00B95F68">
            <w:pPr>
              <w:spacing w:after="0" w:line="360" w:lineRule="auto"/>
              <w:jc w:val="center"/>
              <w:rPr>
                <w:rFonts w:eastAsia="Times New Roman"/>
                <w:b/>
                <w:bCs/>
                <w:color w:val="000000"/>
              </w:rPr>
            </w:pPr>
            <w:r w:rsidRPr="00B95F68">
              <w:rPr>
                <w:rFonts w:eastAsia="Times New Roman"/>
                <w:b/>
                <w:bCs/>
                <w:color w:val="000000"/>
              </w:rPr>
              <w:t>(3,40 &amp; 2,85)</w:t>
            </w:r>
          </w:p>
        </w:tc>
      </w:tr>
    </w:tbl>
    <w:p w:rsidR="00B95F68" w:rsidRDefault="00B95F68" w:rsidP="00B95F68">
      <w:pPr>
        <w:spacing w:after="0" w:line="360" w:lineRule="auto"/>
        <w:jc w:val="both"/>
        <w:rPr>
          <w:rFonts w:ascii="Arial" w:hAnsi="Arial" w:cs="Arial"/>
          <w:sz w:val="24"/>
          <w:szCs w:val="24"/>
        </w:rPr>
      </w:pPr>
    </w:p>
    <w:p w:rsidR="00463003" w:rsidRDefault="00B95F68" w:rsidP="00B95F68">
      <w:pPr>
        <w:spacing w:after="0" w:line="360" w:lineRule="auto"/>
        <w:jc w:val="both"/>
        <w:rPr>
          <w:rFonts w:ascii="Arial" w:hAnsi="Arial" w:cs="Arial"/>
          <w:sz w:val="24"/>
          <w:szCs w:val="24"/>
        </w:rPr>
      </w:pPr>
      <w:r>
        <w:rPr>
          <w:rFonts w:ascii="Arial" w:hAnsi="Arial" w:cs="Arial"/>
          <w:sz w:val="24"/>
          <w:szCs w:val="24"/>
        </w:rPr>
        <w:t>Berdasarkan tabel di atas, terlihat bahwa daya tarik pasar atas industri keuangan dan modal ventura masih menarik, tetapi kekuatan bisnis yang dimiliki oleh SJV tidak memadai untuk melakukan persaingan di industri tersebut. Jika dimasukkan kedalam portofolio matrix strategi, maka dapat digambarkan sebagai berikut:</w:t>
      </w:r>
    </w:p>
    <w:p w:rsidR="00463003" w:rsidRDefault="00463003" w:rsidP="00B95F68">
      <w:pPr>
        <w:spacing w:after="0" w:line="360" w:lineRule="auto"/>
        <w:jc w:val="both"/>
        <w:rPr>
          <w:rFonts w:ascii="Arial" w:hAnsi="Arial" w:cs="Arial"/>
          <w:sz w:val="24"/>
          <w:szCs w:val="24"/>
        </w:rPr>
      </w:pPr>
      <w:r>
        <w:rPr>
          <w:rFonts w:ascii="Arial" w:hAnsi="Arial" w:cs="Arial"/>
          <w:noProof/>
          <w:sz w:val="24"/>
          <w:szCs w:val="24"/>
        </w:rPr>
        <w:pict>
          <v:shape id="_x0000_s1026" type="#_x0000_t75" style="position:absolute;left:0;text-align:left;margin-left:0;margin-top:0;width:471.75pt;height:354.75pt;z-index:251660288;mso-position-horizontal:absolute;mso-position-horizontal-relative:text;mso-position-vertical:absolute;mso-position-vertical-relative:text" o:allowoverlap="f">
            <v:imagedata r:id="rId12" o:title=""/>
            <w10:wrap type="square"/>
          </v:shape>
          <o:OLEObject Type="Embed" ProgID="PowerPoint.Slide.12" ShapeID="_x0000_s1026" DrawAspect="Content" ObjectID="_1322053011" r:id="rId13"/>
        </w:pict>
      </w:r>
      <w:r>
        <w:rPr>
          <w:rFonts w:ascii="Arial" w:hAnsi="Arial" w:cs="Arial"/>
          <w:sz w:val="24"/>
          <w:szCs w:val="24"/>
        </w:rPr>
        <w:t xml:space="preserve">Dengan diketahuinya posisi SJV masuk kedalam kuadaran medium &amp; medium, yakni </w:t>
      </w:r>
      <w:r w:rsidRPr="00463003">
        <w:rPr>
          <w:rFonts w:ascii="Arial" w:hAnsi="Arial" w:cs="Arial"/>
          <w:i/>
          <w:sz w:val="24"/>
          <w:szCs w:val="24"/>
        </w:rPr>
        <w:t>Sel</w:t>
      </w:r>
      <w:r>
        <w:rPr>
          <w:rFonts w:ascii="Arial" w:hAnsi="Arial" w:cs="Arial"/>
          <w:i/>
          <w:sz w:val="24"/>
          <w:szCs w:val="24"/>
        </w:rPr>
        <w:t>e</w:t>
      </w:r>
      <w:r w:rsidRPr="00463003">
        <w:rPr>
          <w:rFonts w:ascii="Arial" w:hAnsi="Arial" w:cs="Arial"/>
          <w:i/>
          <w:sz w:val="24"/>
          <w:szCs w:val="24"/>
        </w:rPr>
        <w:t>ctivity Strategy</w:t>
      </w:r>
      <w:r>
        <w:rPr>
          <w:rFonts w:ascii="Arial" w:hAnsi="Arial" w:cs="Arial"/>
          <w:sz w:val="24"/>
          <w:szCs w:val="24"/>
        </w:rPr>
        <w:t>, maka implikasi strategi yang tepat yang dapat dilakukan oleh SJV adalah:</w:t>
      </w:r>
    </w:p>
    <w:p w:rsidR="00463003" w:rsidRDefault="00463003" w:rsidP="00463003">
      <w:pPr>
        <w:pStyle w:val="ListParagraph"/>
        <w:numPr>
          <w:ilvl w:val="0"/>
          <w:numId w:val="21"/>
        </w:numPr>
        <w:spacing w:after="0" w:line="360" w:lineRule="auto"/>
        <w:jc w:val="both"/>
        <w:rPr>
          <w:rFonts w:ascii="Arial" w:hAnsi="Arial" w:cs="Arial"/>
          <w:sz w:val="24"/>
          <w:szCs w:val="24"/>
        </w:rPr>
      </w:pPr>
      <w:r>
        <w:rPr>
          <w:rFonts w:ascii="Arial" w:hAnsi="Arial" w:cs="Arial"/>
          <w:sz w:val="24"/>
          <w:szCs w:val="24"/>
        </w:rPr>
        <w:t>Melakukan identifikasi secara mendetail mengenai segmentasi produk dan pasarnya yang tumbuh dan berkembang secara baik</w:t>
      </w:r>
      <w:r w:rsidR="00093A21">
        <w:rPr>
          <w:rFonts w:ascii="Arial" w:hAnsi="Arial" w:cs="Arial"/>
          <w:sz w:val="24"/>
          <w:szCs w:val="24"/>
        </w:rPr>
        <w:t>, sehingga ditemukan celah yang menjadi keunggulan bagi SJV.</w:t>
      </w:r>
    </w:p>
    <w:p w:rsidR="00093A21" w:rsidRDefault="00093A21" w:rsidP="00463003">
      <w:pPr>
        <w:pStyle w:val="ListParagraph"/>
        <w:numPr>
          <w:ilvl w:val="0"/>
          <w:numId w:val="21"/>
        </w:numPr>
        <w:spacing w:after="0" w:line="360" w:lineRule="auto"/>
        <w:jc w:val="both"/>
        <w:rPr>
          <w:rFonts w:ascii="Arial" w:hAnsi="Arial" w:cs="Arial"/>
          <w:sz w:val="24"/>
          <w:szCs w:val="24"/>
        </w:rPr>
      </w:pPr>
      <w:r>
        <w:rPr>
          <w:rFonts w:ascii="Arial" w:hAnsi="Arial" w:cs="Arial"/>
          <w:sz w:val="24"/>
          <w:szCs w:val="24"/>
        </w:rPr>
        <w:t>Melakukan spesialisasi atas produk pembiayaan modal ventura dengan mengedepankan sumber daya yang dimiliki, seperti: aliansi stratejik yang telah dibangun dengan pemerintah dalam hal pendanaan murah, peningkatan Sumber Daya Manusia dalam kompetensi pembinaan dan dampingan monitoring kepada pelanggan, menciptakan kualitas jaringan yang kuat di seluruh Indonesia dalam rangka meningkatkan keunggulan bersaing dan hambatan masuk bagi para pemain baru.</w:t>
      </w:r>
    </w:p>
    <w:p w:rsidR="00093A21" w:rsidRPr="00463003" w:rsidRDefault="00093A21" w:rsidP="00463003">
      <w:pPr>
        <w:pStyle w:val="ListParagraph"/>
        <w:numPr>
          <w:ilvl w:val="0"/>
          <w:numId w:val="21"/>
        </w:numPr>
        <w:spacing w:after="0" w:line="360" w:lineRule="auto"/>
        <w:jc w:val="both"/>
        <w:rPr>
          <w:rFonts w:ascii="Arial" w:hAnsi="Arial" w:cs="Arial"/>
          <w:sz w:val="24"/>
          <w:szCs w:val="24"/>
        </w:rPr>
      </w:pPr>
      <w:r>
        <w:rPr>
          <w:rFonts w:ascii="Arial" w:hAnsi="Arial" w:cs="Arial"/>
          <w:sz w:val="24"/>
          <w:szCs w:val="24"/>
        </w:rPr>
        <w:t>Melakukan investasi kepada aset stratejik secara selektif dan tepat, misalnya meningkatkan nilai investasi pengembangan dan pelatihan SDM yang mumpuni serta meningkatkan nilai aliansi stratejik dengan pemerintah maupun Badan Usaha Milik Negara.</w:t>
      </w:r>
    </w:p>
    <w:p w:rsidR="00463003" w:rsidRDefault="00463003" w:rsidP="00B95F68">
      <w:pPr>
        <w:spacing w:after="0" w:line="360" w:lineRule="auto"/>
        <w:jc w:val="both"/>
        <w:rPr>
          <w:rFonts w:ascii="Arial" w:hAnsi="Arial" w:cs="Arial"/>
          <w:sz w:val="24"/>
          <w:szCs w:val="24"/>
        </w:rPr>
      </w:pPr>
    </w:p>
    <w:p w:rsidR="00DF2F27" w:rsidRDefault="00DF2F27" w:rsidP="00DF2F27">
      <w:pPr>
        <w:pStyle w:val="ListParagraph"/>
        <w:numPr>
          <w:ilvl w:val="0"/>
          <w:numId w:val="1"/>
        </w:numPr>
        <w:spacing w:line="360" w:lineRule="auto"/>
        <w:ind w:left="709" w:hanging="709"/>
        <w:jc w:val="both"/>
        <w:rPr>
          <w:rFonts w:ascii="Arial" w:hAnsi="Arial" w:cs="Arial"/>
          <w:b/>
          <w:sz w:val="24"/>
          <w:szCs w:val="24"/>
        </w:rPr>
      </w:pPr>
      <w:r>
        <w:rPr>
          <w:rFonts w:ascii="Arial" w:hAnsi="Arial" w:cs="Arial"/>
          <w:b/>
          <w:sz w:val="24"/>
          <w:szCs w:val="24"/>
        </w:rPr>
        <w:t>ANALISIS KEY MANAGEMENT PERUSAHAAN</w:t>
      </w:r>
    </w:p>
    <w:p w:rsidR="00DF2F27" w:rsidRDefault="00AF5635" w:rsidP="00DF2F27">
      <w:pPr>
        <w:spacing w:line="360" w:lineRule="auto"/>
        <w:jc w:val="both"/>
        <w:rPr>
          <w:rFonts w:ascii="Arial" w:hAnsi="Arial" w:cs="Arial"/>
          <w:b/>
          <w:sz w:val="24"/>
          <w:szCs w:val="24"/>
        </w:rPr>
      </w:pPr>
      <w:r w:rsidRPr="00AF5635">
        <w:rPr>
          <w:rFonts w:ascii="Arial" w:hAnsi="Arial" w:cs="Arial"/>
          <w:b/>
          <w:sz w:val="24"/>
          <w:szCs w:val="24"/>
        </w:rPr>
        <w:object w:dxaOrig="7191" w:dyaOrig="5402">
          <v:shape id="_x0000_i1026" type="#_x0000_t75" style="width:471.5pt;height:354.75pt" o:ole="">
            <v:imagedata r:id="rId14" o:title=""/>
          </v:shape>
          <o:OLEObject Type="Embed" ProgID="PowerPoint.Slide.12" ShapeID="_x0000_i1026" DrawAspect="Content" ObjectID="_1322053010" r:id="rId15"/>
        </w:object>
      </w:r>
    </w:p>
    <w:p w:rsidR="00AF5635" w:rsidRPr="00AF5635" w:rsidRDefault="00AF5635" w:rsidP="00DF2F27">
      <w:pPr>
        <w:spacing w:line="360" w:lineRule="auto"/>
        <w:jc w:val="both"/>
        <w:rPr>
          <w:rFonts w:ascii="Arial" w:hAnsi="Arial" w:cs="Arial"/>
          <w:sz w:val="24"/>
          <w:szCs w:val="24"/>
        </w:rPr>
      </w:pPr>
      <w:r w:rsidRPr="00AF5635">
        <w:rPr>
          <w:rFonts w:ascii="Arial" w:hAnsi="Arial" w:cs="Arial"/>
          <w:sz w:val="24"/>
          <w:szCs w:val="24"/>
        </w:rPr>
        <w:t xml:space="preserve">Sebagai </w:t>
      </w:r>
      <w:r>
        <w:rPr>
          <w:rFonts w:ascii="Arial" w:hAnsi="Arial" w:cs="Arial"/>
          <w:sz w:val="24"/>
          <w:szCs w:val="24"/>
        </w:rPr>
        <w:t xml:space="preserve">sebuah perusahaan pembiayaan, maka yang menjadi </w:t>
      </w:r>
      <w:r w:rsidRPr="00AF5635">
        <w:rPr>
          <w:rFonts w:ascii="Arial" w:hAnsi="Arial" w:cs="Arial"/>
          <w:i/>
          <w:sz w:val="24"/>
          <w:szCs w:val="24"/>
        </w:rPr>
        <w:t>key management</w:t>
      </w:r>
      <w:r>
        <w:rPr>
          <w:rFonts w:ascii="Arial" w:hAnsi="Arial" w:cs="Arial"/>
          <w:sz w:val="24"/>
          <w:szCs w:val="24"/>
        </w:rPr>
        <w:t xml:space="preserve"> dalam SJV adalah </w:t>
      </w:r>
      <w:r w:rsidRPr="00AF5635">
        <w:rPr>
          <w:rFonts w:ascii="Arial" w:hAnsi="Arial" w:cs="Arial"/>
          <w:i/>
          <w:sz w:val="24"/>
          <w:szCs w:val="24"/>
        </w:rPr>
        <w:t>management driver</w:t>
      </w:r>
      <w:r>
        <w:rPr>
          <w:rFonts w:ascii="Arial" w:hAnsi="Arial" w:cs="Arial"/>
          <w:sz w:val="24"/>
          <w:szCs w:val="24"/>
        </w:rPr>
        <w:t xml:space="preserve">, dimana dari setiap </w:t>
      </w:r>
      <w:r w:rsidRPr="00AF5635">
        <w:rPr>
          <w:rFonts w:ascii="Arial" w:hAnsi="Arial" w:cs="Arial"/>
          <w:i/>
          <w:sz w:val="24"/>
          <w:szCs w:val="24"/>
        </w:rPr>
        <w:t>management driver</w:t>
      </w:r>
      <w:r>
        <w:rPr>
          <w:rFonts w:ascii="Arial" w:hAnsi="Arial" w:cs="Arial"/>
          <w:sz w:val="24"/>
          <w:szCs w:val="24"/>
        </w:rPr>
        <w:t xml:space="preserve"> tersebut dapat dihubungkan dengan </w:t>
      </w:r>
      <w:r w:rsidRPr="00AF5635">
        <w:rPr>
          <w:rFonts w:ascii="Arial" w:hAnsi="Arial" w:cs="Arial"/>
          <w:i/>
          <w:sz w:val="24"/>
          <w:szCs w:val="24"/>
        </w:rPr>
        <w:t>strategy objective</w:t>
      </w:r>
      <w:r>
        <w:rPr>
          <w:rFonts w:ascii="Arial" w:hAnsi="Arial" w:cs="Arial"/>
          <w:sz w:val="24"/>
          <w:szCs w:val="24"/>
        </w:rPr>
        <w:t xml:space="preserve"> perusahaan, yakni </w:t>
      </w:r>
      <w:r w:rsidRPr="00AF5635">
        <w:rPr>
          <w:rFonts w:ascii="Arial" w:hAnsi="Arial" w:cs="Arial"/>
          <w:i/>
          <w:sz w:val="24"/>
          <w:szCs w:val="24"/>
        </w:rPr>
        <w:t>shareholder value</w:t>
      </w:r>
      <w:r>
        <w:rPr>
          <w:rFonts w:ascii="Arial" w:hAnsi="Arial" w:cs="Arial"/>
          <w:sz w:val="24"/>
          <w:szCs w:val="24"/>
        </w:rPr>
        <w:t>.</w:t>
      </w:r>
    </w:p>
    <w:p w:rsidR="00DF2F27" w:rsidRDefault="00DF2F27" w:rsidP="00DF2F27">
      <w:pPr>
        <w:spacing w:line="360" w:lineRule="auto"/>
        <w:jc w:val="both"/>
        <w:rPr>
          <w:rFonts w:ascii="Arial" w:hAnsi="Arial" w:cs="Arial"/>
          <w:b/>
          <w:sz w:val="24"/>
          <w:szCs w:val="24"/>
        </w:rPr>
      </w:pPr>
    </w:p>
    <w:p w:rsidR="00DF2F27" w:rsidRDefault="00DF2F27" w:rsidP="00DF2F27">
      <w:pPr>
        <w:pStyle w:val="ListParagraph"/>
        <w:numPr>
          <w:ilvl w:val="0"/>
          <w:numId w:val="1"/>
        </w:numPr>
        <w:spacing w:line="360" w:lineRule="auto"/>
        <w:ind w:left="709" w:hanging="709"/>
        <w:jc w:val="both"/>
        <w:rPr>
          <w:rFonts w:ascii="Arial" w:hAnsi="Arial" w:cs="Arial"/>
          <w:b/>
          <w:sz w:val="24"/>
          <w:szCs w:val="24"/>
        </w:rPr>
      </w:pPr>
      <w:r>
        <w:rPr>
          <w:rFonts w:ascii="Arial" w:hAnsi="Arial" w:cs="Arial"/>
          <w:b/>
          <w:sz w:val="24"/>
          <w:szCs w:val="24"/>
        </w:rPr>
        <w:t>RISK &amp; RETURN MATRIX</w:t>
      </w:r>
    </w:p>
    <w:p w:rsidR="00B95F68" w:rsidRDefault="00B95F68" w:rsidP="00B95F68">
      <w:pPr>
        <w:spacing w:after="0" w:line="360" w:lineRule="auto"/>
        <w:jc w:val="both"/>
        <w:rPr>
          <w:rFonts w:ascii="Arial" w:hAnsi="Arial" w:cs="Arial"/>
          <w:sz w:val="24"/>
          <w:szCs w:val="24"/>
        </w:rPr>
      </w:pPr>
    </w:p>
    <w:sectPr w:rsidR="00B95F68" w:rsidSect="008E18BE">
      <w:footerReference w:type="default" r:id="rId1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B31" w:rsidRDefault="00B40B31" w:rsidP="0022589D">
      <w:pPr>
        <w:spacing w:after="0" w:line="240" w:lineRule="auto"/>
      </w:pPr>
      <w:r>
        <w:separator/>
      </w:r>
    </w:p>
  </w:endnote>
  <w:endnote w:type="continuationSeparator" w:id="1">
    <w:p w:rsidR="00B40B31" w:rsidRDefault="00B40B31" w:rsidP="002258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89D" w:rsidRDefault="00591CED">
    <w:pPr>
      <w:pStyle w:val="Footer"/>
      <w:pBdr>
        <w:top w:val="single" w:sz="4" w:space="1" w:color="D9D9D9"/>
      </w:pBdr>
      <w:rPr>
        <w:b/>
      </w:rPr>
    </w:pPr>
    <w:fldSimple w:instr=" PAGE   \* MERGEFORMAT ">
      <w:r w:rsidR="00AF5635" w:rsidRPr="00AF5635">
        <w:rPr>
          <w:b/>
          <w:noProof/>
        </w:rPr>
        <w:t>11</w:t>
      </w:r>
    </w:fldSimple>
    <w:r w:rsidR="0022589D">
      <w:rPr>
        <w:b/>
      </w:rPr>
      <w:t xml:space="preserve"> | </w:t>
    </w:r>
    <w:r w:rsidR="0022589D">
      <w:rPr>
        <w:color w:val="7F7F7F"/>
        <w:spacing w:val="60"/>
      </w:rPr>
      <w:t xml:space="preserve">Page- Perencanaan Strategi – </w:t>
    </w:r>
    <w:r w:rsidR="0022589D" w:rsidRPr="0022589D">
      <w:rPr>
        <w:i/>
        <w:color w:val="7F7F7F"/>
        <w:spacing w:val="60"/>
      </w:rPr>
      <w:t>Jarot W. Wibowo</w:t>
    </w:r>
  </w:p>
  <w:p w:rsidR="0022589D" w:rsidRDefault="002258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B31" w:rsidRDefault="00B40B31" w:rsidP="0022589D">
      <w:pPr>
        <w:spacing w:after="0" w:line="240" w:lineRule="auto"/>
      </w:pPr>
      <w:r>
        <w:separator/>
      </w:r>
    </w:p>
  </w:footnote>
  <w:footnote w:type="continuationSeparator" w:id="1">
    <w:p w:rsidR="00B40B31" w:rsidRDefault="00B40B31" w:rsidP="002258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0A05"/>
    <w:multiLevelType w:val="hybridMultilevel"/>
    <w:tmpl w:val="DD5E157A"/>
    <w:lvl w:ilvl="0" w:tplc="DE5060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4AB0664"/>
    <w:multiLevelType w:val="hybridMultilevel"/>
    <w:tmpl w:val="0F963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45059C"/>
    <w:multiLevelType w:val="hybridMultilevel"/>
    <w:tmpl w:val="EE8C0E38"/>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C410C3"/>
    <w:multiLevelType w:val="hybridMultilevel"/>
    <w:tmpl w:val="A4643642"/>
    <w:lvl w:ilvl="0" w:tplc="2F5AD9FE">
      <w:start w:val="1"/>
      <w:numFmt w:val="bullet"/>
      <w:lvlText w:val="-"/>
      <w:lvlJc w:val="left"/>
      <w:pPr>
        <w:ind w:left="2160" w:hanging="360"/>
      </w:pPr>
      <w:rPr>
        <w:rFonts w:ascii="Calibri" w:eastAsia="Calibri" w:hAnsi="Calibri"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25C5B66"/>
    <w:multiLevelType w:val="hybridMultilevel"/>
    <w:tmpl w:val="032637A2"/>
    <w:lvl w:ilvl="0" w:tplc="AEE4D092">
      <w:start w:val="1"/>
      <w:numFmt w:val="upp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2A7451CB"/>
    <w:multiLevelType w:val="hybridMultilevel"/>
    <w:tmpl w:val="4D006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833C67"/>
    <w:multiLevelType w:val="hybridMultilevel"/>
    <w:tmpl w:val="0400E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A826C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345C74B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3A3E131A"/>
    <w:multiLevelType w:val="hybridMultilevel"/>
    <w:tmpl w:val="F8A6B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6202E8"/>
    <w:multiLevelType w:val="hybridMultilevel"/>
    <w:tmpl w:val="07D61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080363"/>
    <w:multiLevelType w:val="hybridMultilevel"/>
    <w:tmpl w:val="49B03BB6"/>
    <w:lvl w:ilvl="0" w:tplc="04090001">
      <w:start w:val="1"/>
      <w:numFmt w:val="bullet"/>
      <w:lvlText w:val=""/>
      <w:lvlJc w:val="left"/>
      <w:pPr>
        <w:ind w:left="1856" w:hanging="360"/>
      </w:pPr>
      <w:rPr>
        <w:rFonts w:ascii="Symbol" w:hAnsi="Symbol" w:hint="default"/>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12">
    <w:nsid w:val="534A07AE"/>
    <w:multiLevelType w:val="hybridMultilevel"/>
    <w:tmpl w:val="A8B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3057FB"/>
    <w:multiLevelType w:val="hybridMultilevel"/>
    <w:tmpl w:val="6E88D74A"/>
    <w:lvl w:ilvl="0" w:tplc="3842B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275498"/>
    <w:multiLevelType w:val="hybridMultilevel"/>
    <w:tmpl w:val="9FA02A44"/>
    <w:lvl w:ilvl="0" w:tplc="652CBFC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A602492"/>
    <w:multiLevelType w:val="hybridMultilevel"/>
    <w:tmpl w:val="F0B27E62"/>
    <w:lvl w:ilvl="0" w:tplc="7ABE5226">
      <w:start w:val="1"/>
      <w:numFmt w:val="bullet"/>
      <w:lvlText w:val="-"/>
      <w:lvlJc w:val="left"/>
      <w:pPr>
        <w:ind w:left="786" w:hanging="360"/>
      </w:pPr>
      <w:rPr>
        <w:rFonts w:ascii="Arial" w:eastAsia="Calibri" w:hAnsi="Arial" w:cs="Aria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73DC1505"/>
    <w:multiLevelType w:val="hybridMultilevel"/>
    <w:tmpl w:val="62C0C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313561"/>
    <w:multiLevelType w:val="hybridMultilevel"/>
    <w:tmpl w:val="608896E6"/>
    <w:lvl w:ilvl="0" w:tplc="F1A4C9BA">
      <w:start w:val="1"/>
      <w:numFmt w:val="lowerLetter"/>
      <w:lvlText w:val="%1."/>
      <w:lvlJc w:val="left"/>
      <w:pPr>
        <w:tabs>
          <w:tab w:val="num" w:pos="2174"/>
        </w:tabs>
        <w:ind w:left="2174" w:hanging="360"/>
      </w:pPr>
      <w:rPr>
        <w:rFonts w:hint="default"/>
      </w:rPr>
    </w:lvl>
    <w:lvl w:ilvl="1" w:tplc="04090019" w:tentative="1">
      <w:start w:val="1"/>
      <w:numFmt w:val="lowerLetter"/>
      <w:lvlText w:val="%2."/>
      <w:lvlJc w:val="left"/>
      <w:pPr>
        <w:tabs>
          <w:tab w:val="num" w:pos="2894"/>
        </w:tabs>
        <w:ind w:left="2894" w:hanging="360"/>
      </w:pPr>
    </w:lvl>
    <w:lvl w:ilvl="2" w:tplc="0409001B" w:tentative="1">
      <w:start w:val="1"/>
      <w:numFmt w:val="lowerRoman"/>
      <w:lvlText w:val="%3."/>
      <w:lvlJc w:val="right"/>
      <w:pPr>
        <w:tabs>
          <w:tab w:val="num" w:pos="3614"/>
        </w:tabs>
        <w:ind w:left="3614" w:hanging="180"/>
      </w:pPr>
    </w:lvl>
    <w:lvl w:ilvl="3" w:tplc="0409000F" w:tentative="1">
      <w:start w:val="1"/>
      <w:numFmt w:val="decimal"/>
      <w:lvlText w:val="%4."/>
      <w:lvlJc w:val="left"/>
      <w:pPr>
        <w:tabs>
          <w:tab w:val="num" w:pos="4334"/>
        </w:tabs>
        <w:ind w:left="4334" w:hanging="360"/>
      </w:pPr>
    </w:lvl>
    <w:lvl w:ilvl="4" w:tplc="04090019" w:tentative="1">
      <w:start w:val="1"/>
      <w:numFmt w:val="lowerLetter"/>
      <w:lvlText w:val="%5."/>
      <w:lvlJc w:val="left"/>
      <w:pPr>
        <w:tabs>
          <w:tab w:val="num" w:pos="5054"/>
        </w:tabs>
        <w:ind w:left="5054" w:hanging="360"/>
      </w:pPr>
    </w:lvl>
    <w:lvl w:ilvl="5" w:tplc="0409001B" w:tentative="1">
      <w:start w:val="1"/>
      <w:numFmt w:val="lowerRoman"/>
      <w:lvlText w:val="%6."/>
      <w:lvlJc w:val="right"/>
      <w:pPr>
        <w:tabs>
          <w:tab w:val="num" w:pos="5774"/>
        </w:tabs>
        <w:ind w:left="5774" w:hanging="180"/>
      </w:pPr>
    </w:lvl>
    <w:lvl w:ilvl="6" w:tplc="0409000F" w:tentative="1">
      <w:start w:val="1"/>
      <w:numFmt w:val="decimal"/>
      <w:lvlText w:val="%7."/>
      <w:lvlJc w:val="left"/>
      <w:pPr>
        <w:tabs>
          <w:tab w:val="num" w:pos="6494"/>
        </w:tabs>
        <w:ind w:left="6494" w:hanging="360"/>
      </w:pPr>
    </w:lvl>
    <w:lvl w:ilvl="7" w:tplc="04090019" w:tentative="1">
      <w:start w:val="1"/>
      <w:numFmt w:val="lowerLetter"/>
      <w:lvlText w:val="%8."/>
      <w:lvlJc w:val="left"/>
      <w:pPr>
        <w:tabs>
          <w:tab w:val="num" w:pos="7214"/>
        </w:tabs>
        <w:ind w:left="7214" w:hanging="360"/>
      </w:pPr>
    </w:lvl>
    <w:lvl w:ilvl="8" w:tplc="0409001B" w:tentative="1">
      <w:start w:val="1"/>
      <w:numFmt w:val="lowerRoman"/>
      <w:lvlText w:val="%9."/>
      <w:lvlJc w:val="right"/>
      <w:pPr>
        <w:tabs>
          <w:tab w:val="num" w:pos="7934"/>
        </w:tabs>
        <w:ind w:left="7934" w:hanging="180"/>
      </w:pPr>
    </w:lvl>
  </w:abstractNum>
  <w:abstractNum w:abstractNumId="18">
    <w:nsid w:val="76F277DF"/>
    <w:multiLevelType w:val="hybridMultilevel"/>
    <w:tmpl w:val="F5207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5D24E8"/>
    <w:multiLevelType w:val="singleLevel"/>
    <w:tmpl w:val="494C5DEE"/>
    <w:lvl w:ilvl="0">
      <w:start w:val="1"/>
      <w:numFmt w:val="lowerLetter"/>
      <w:lvlText w:val="%1)"/>
      <w:lvlJc w:val="left"/>
      <w:pPr>
        <w:tabs>
          <w:tab w:val="num" w:pos="900"/>
        </w:tabs>
        <w:ind w:left="900" w:hanging="360"/>
      </w:pPr>
      <w:rPr>
        <w:rFonts w:hint="default"/>
      </w:rPr>
    </w:lvl>
  </w:abstractNum>
  <w:abstractNum w:abstractNumId="20">
    <w:nsid w:val="7C732855"/>
    <w:multiLevelType w:val="hybridMultilevel"/>
    <w:tmpl w:val="1B285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810E91"/>
    <w:multiLevelType w:val="hybridMultilevel"/>
    <w:tmpl w:val="CF0227B8"/>
    <w:lvl w:ilvl="0" w:tplc="5D980A1A">
      <w:start w:val="1"/>
      <w:numFmt w:val="lowerLetter"/>
      <w:lvlText w:val="%1."/>
      <w:lvlJc w:val="left"/>
      <w:pPr>
        <w:tabs>
          <w:tab w:val="num" w:pos="1184"/>
        </w:tabs>
        <w:ind w:left="1184" w:hanging="405"/>
      </w:pPr>
      <w:rPr>
        <w:rFonts w:hint="default"/>
      </w:rPr>
    </w:lvl>
    <w:lvl w:ilvl="1" w:tplc="04090019" w:tentative="1">
      <w:start w:val="1"/>
      <w:numFmt w:val="lowerLetter"/>
      <w:lvlText w:val="%2."/>
      <w:lvlJc w:val="left"/>
      <w:pPr>
        <w:tabs>
          <w:tab w:val="num" w:pos="1859"/>
        </w:tabs>
        <w:ind w:left="1859" w:hanging="360"/>
      </w:pPr>
    </w:lvl>
    <w:lvl w:ilvl="2" w:tplc="0409001B" w:tentative="1">
      <w:start w:val="1"/>
      <w:numFmt w:val="lowerRoman"/>
      <w:lvlText w:val="%3."/>
      <w:lvlJc w:val="right"/>
      <w:pPr>
        <w:tabs>
          <w:tab w:val="num" w:pos="2579"/>
        </w:tabs>
        <w:ind w:left="2579" w:hanging="180"/>
      </w:pPr>
    </w:lvl>
    <w:lvl w:ilvl="3" w:tplc="0409000F" w:tentative="1">
      <w:start w:val="1"/>
      <w:numFmt w:val="decimal"/>
      <w:lvlText w:val="%4."/>
      <w:lvlJc w:val="left"/>
      <w:pPr>
        <w:tabs>
          <w:tab w:val="num" w:pos="3299"/>
        </w:tabs>
        <w:ind w:left="3299" w:hanging="360"/>
      </w:pPr>
    </w:lvl>
    <w:lvl w:ilvl="4" w:tplc="04090019" w:tentative="1">
      <w:start w:val="1"/>
      <w:numFmt w:val="lowerLetter"/>
      <w:lvlText w:val="%5."/>
      <w:lvlJc w:val="left"/>
      <w:pPr>
        <w:tabs>
          <w:tab w:val="num" w:pos="4019"/>
        </w:tabs>
        <w:ind w:left="4019" w:hanging="360"/>
      </w:pPr>
    </w:lvl>
    <w:lvl w:ilvl="5" w:tplc="0409001B" w:tentative="1">
      <w:start w:val="1"/>
      <w:numFmt w:val="lowerRoman"/>
      <w:lvlText w:val="%6."/>
      <w:lvlJc w:val="right"/>
      <w:pPr>
        <w:tabs>
          <w:tab w:val="num" w:pos="4739"/>
        </w:tabs>
        <w:ind w:left="4739" w:hanging="180"/>
      </w:pPr>
    </w:lvl>
    <w:lvl w:ilvl="6" w:tplc="0409000F" w:tentative="1">
      <w:start w:val="1"/>
      <w:numFmt w:val="decimal"/>
      <w:lvlText w:val="%7."/>
      <w:lvlJc w:val="left"/>
      <w:pPr>
        <w:tabs>
          <w:tab w:val="num" w:pos="5459"/>
        </w:tabs>
        <w:ind w:left="5459" w:hanging="360"/>
      </w:pPr>
    </w:lvl>
    <w:lvl w:ilvl="7" w:tplc="04090019" w:tentative="1">
      <w:start w:val="1"/>
      <w:numFmt w:val="lowerLetter"/>
      <w:lvlText w:val="%8."/>
      <w:lvlJc w:val="left"/>
      <w:pPr>
        <w:tabs>
          <w:tab w:val="num" w:pos="6179"/>
        </w:tabs>
        <w:ind w:left="6179" w:hanging="360"/>
      </w:pPr>
    </w:lvl>
    <w:lvl w:ilvl="8" w:tplc="0409001B" w:tentative="1">
      <w:start w:val="1"/>
      <w:numFmt w:val="lowerRoman"/>
      <w:lvlText w:val="%9."/>
      <w:lvlJc w:val="right"/>
      <w:pPr>
        <w:tabs>
          <w:tab w:val="num" w:pos="6899"/>
        </w:tabs>
        <w:ind w:left="6899" w:hanging="180"/>
      </w:pPr>
    </w:lvl>
  </w:abstractNum>
  <w:num w:numId="1">
    <w:abstractNumId w:val="13"/>
  </w:num>
  <w:num w:numId="2">
    <w:abstractNumId w:val="9"/>
  </w:num>
  <w:num w:numId="3">
    <w:abstractNumId w:val="8"/>
  </w:num>
  <w:num w:numId="4">
    <w:abstractNumId w:val="7"/>
  </w:num>
  <w:num w:numId="5">
    <w:abstractNumId w:val="11"/>
  </w:num>
  <w:num w:numId="6">
    <w:abstractNumId w:val="18"/>
  </w:num>
  <w:num w:numId="7">
    <w:abstractNumId w:val="5"/>
  </w:num>
  <w:num w:numId="8">
    <w:abstractNumId w:val="12"/>
  </w:num>
  <w:num w:numId="9">
    <w:abstractNumId w:val="16"/>
  </w:num>
  <w:num w:numId="10">
    <w:abstractNumId w:val="4"/>
  </w:num>
  <w:num w:numId="11">
    <w:abstractNumId w:val="0"/>
  </w:num>
  <w:num w:numId="12">
    <w:abstractNumId w:val="3"/>
  </w:num>
  <w:num w:numId="13">
    <w:abstractNumId w:val="14"/>
  </w:num>
  <w:num w:numId="14">
    <w:abstractNumId w:val="1"/>
  </w:num>
  <w:num w:numId="15">
    <w:abstractNumId w:val="19"/>
  </w:num>
  <w:num w:numId="16">
    <w:abstractNumId w:val="20"/>
  </w:num>
  <w:num w:numId="17">
    <w:abstractNumId w:val="15"/>
  </w:num>
  <w:num w:numId="18">
    <w:abstractNumId w:val="17"/>
  </w:num>
  <w:num w:numId="19">
    <w:abstractNumId w:val="21"/>
  </w:num>
  <w:num w:numId="20">
    <w:abstractNumId w:val="2"/>
  </w:num>
  <w:num w:numId="21">
    <w:abstractNumId w:val="6"/>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E5059"/>
    <w:rsid w:val="00005F2B"/>
    <w:rsid w:val="000218FC"/>
    <w:rsid w:val="00093A21"/>
    <w:rsid w:val="000B7B12"/>
    <w:rsid w:val="000E053A"/>
    <w:rsid w:val="00125FF0"/>
    <w:rsid w:val="00137CEA"/>
    <w:rsid w:val="00155B7A"/>
    <w:rsid w:val="001A2359"/>
    <w:rsid w:val="001B42F4"/>
    <w:rsid w:val="001E5059"/>
    <w:rsid w:val="00213F6F"/>
    <w:rsid w:val="0022589D"/>
    <w:rsid w:val="00252A49"/>
    <w:rsid w:val="00264983"/>
    <w:rsid w:val="002A51CE"/>
    <w:rsid w:val="002A555D"/>
    <w:rsid w:val="002F77AC"/>
    <w:rsid w:val="0036245B"/>
    <w:rsid w:val="00387DF3"/>
    <w:rsid w:val="00402B20"/>
    <w:rsid w:val="0045263E"/>
    <w:rsid w:val="00463003"/>
    <w:rsid w:val="00481D8A"/>
    <w:rsid w:val="004E6460"/>
    <w:rsid w:val="00591CED"/>
    <w:rsid w:val="006067D6"/>
    <w:rsid w:val="006313B5"/>
    <w:rsid w:val="00667FAB"/>
    <w:rsid w:val="00671C7B"/>
    <w:rsid w:val="00675CF4"/>
    <w:rsid w:val="00685A5E"/>
    <w:rsid w:val="006A5A0D"/>
    <w:rsid w:val="006B03A3"/>
    <w:rsid w:val="00721FBD"/>
    <w:rsid w:val="007263DB"/>
    <w:rsid w:val="00801F35"/>
    <w:rsid w:val="00821558"/>
    <w:rsid w:val="00821EB9"/>
    <w:rsid w:val="008230BB"/>
    <w:rsid w:val="0087627C"/>
    <w:rsid w:val="00885CB9"/>
    <w:rsid w:val="008A2FD5"/>
    <w:rsid w:val="008E18BE"/>
    <w:rsid w:val="008F602F"/>
    <w:rsid w:val="009071EF"/>
    <w:rsid w:val="00926EDC"/>
    <w:rsid w:val="0094265F"/>
    <w:rsid w:val="0095505F"/>
    <w:rsid w:val="00956384"/>
    <w:rsid w:val="00980938"/>
    <w:rsid w:val="009932AD"/>
    <w:rsid w:val="00A46ACE"/>
    <w:rsid w:val="00AF5635"/>
    <w:rsid w:val="00B10B06"/>
    <w:rsid w:val="00B40888"/>
    <w:rsid w:val="00B40B31"/>
    <w:rsid w:val="00B816D1"/>
    <w:rsid w:val="00B87D7C"/>
    <w:rsid w:val="00B95F68"/>
    <w:rsid w:val="00BC599B"/>
    <w:rsid w:val="00BD3269"/>
    <w:rsid w:val="00BE0F06"/>
    <w:rsid w:val="00C31C59"/>
    <w:rsid w:val="00C9308E"/>
    <w:rsid w:val="00CA19E3"/>
    <w:rsid w:val="00CC6B8F"/>
    <w:rsid w:val="00CE45CB"/>
    <w:rsid w:val="00CF2D1B"/>
    <w:rsid w:val="00CF4F07"/>
    <w:rsid w:val="00D01CB7"/>
    <w:rsid w:val="00D10E59"/>
    <w:rsid w:val="00D208F2"/>
    <w:rsid w:val="00D5386F"/>
    <w:rsid w:val="00D707CB"/>
    <w:rsid w:val="00DA082F"/>
    <w:rsid w:val="00DC4DA6"/>
    <w:rsid w:val="00DC72C7"/>
    <w:rsid w:val="00DE199B"/>
    <w:rsid w:val="00DF2F27"/>
    <w:rsid w:val="00E06741"/>
    <w:rsid w:val="00E35A61"/>
    <w:rsid w:val="00E4509E"/>
    <w:rsid w:val="00E57B8D"/>
    <w:rsid w:val="00E76C76"/>
    <w:rsid w:val="00E840F6"/>
    <w:rsid w:val="00F22E41"/>
    <w:rsid w:val="00F47A71"/>
    <w:rsid w:val="00F7491B"/>
    <w:rsid w:val="00F83E60"/>
    <w:rsid w:val="00FA0633"/>
    <w:rsid w:val="00FA692E"/>
    <w:rsid w:val="00FE3364"/>
    <w:rsid w:val="00FE5C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8BE"/>
    <w:pPr>
      <w:spacing w:after="200" w:line="276" w:lineRule="auto"/>
    </w:pPr>
    <w:rPr>
      <w:sz w:val="22"/>
      <w:szCs w:val="22"/>
    </w:rPr>
  </w:style>
  <w:style w:type="paragraph" w:styleId="Heading2">
    <w:name w:val="heading 2"/>
    <w:basedOn w:val="Normal"/>
    <w:next w:val="Normal"/>
    <w:link w:val="Heading2Char"/>
    <w:qFormat/>
    <w:rsid w:val="00DC4DA6"/>
    <w:pPr>
      <w:keepNext/>
      <w:spacing w:after="0" w:line="240" w:lineRule="auto"/>
      <w:jc w:val="both"/>
      <w:outlineLvl w:val="1"/>
    </w:pPr>
    <w:rPr>
      <w:rFonts w:ascii="Tahoma" w:eastAsia="Times New Roman" w:hAnsi="Tahoma" w:cs="Tahoma"/>
      <w:i/>
      <w:iCs/>
      <w:szCs w:val="24"/>
    </w:rPr>
  </w:style>
  <w:style w:type="paragraph" w:styleId="Heading4">
    <w:name w:val="heading 4"/>
    <w:basedOn w:val="Normal"/>
    <w:next w:val="Normal"/>
    <w:link w:val="Heading4Char"/>
    <w:qFormat/>
    <w:rsid w:val="00DC4DA6"/>
    <w:pPr>
      <w:keepNext/>
      <w:spacing w:after="0" w:line="240" w:lineRule="auto"/>
      <w:outlineLvl w:val="3"/>
    </w:pPr>
    <w:rPr>
      <w:rFonts w:ascii="Tahoma" w:eastAsia="Times New Roman" w:hAnsi="Tahoma" w:cs="Tahoma"/>
      <w:b/>
      <w:bCs/>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5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059"/>
    <w:rPr>
      <w:rFonts w:ascii="Tahoma" w:hAnsi="Tahoma" w:cs="Tahoma"/>
      <w:sz w:val="16"/>
      <w:szCs w:val="16"/>
    </w:rPr>
  </w:style>
  <w:style w:type="paragraph" w:styleId="ListParagraph">
    <w:name w:val="List Paragraph"/>
    <w:basedOn w:val="Normal"/>
    <w:uiPriority w:val="34"/>
    <w:qFormat/>
    <w:rsid w:val="00980938"/>
    <w:pPr>
      <w:ind w:left="720"/>
      <w:contextualSpacing/>
    </w:pPr>
  </w:style>
  <w:style w:type="table" w:styleId="TableGrid">
    <w:name w:val="Table Grid"/>
    <w:basedOn w:val="TableNormal"/>
    <w:uiPriority w:val="59"/>
    <w:rsid w:val="006B03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E06741"/>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CA19E3"/>
    <w:rPr>
      <w:color w:val="0000FF"/>
      <w:u w:val="single"/>
    </w:rPr>
  </w:style>
  <w:style w:type="paragraph" w:styleId="Header">
    <w:name w:val="header"/>
    <w:basedOn w:val="Normal"/>
    <w:link w:val="HeaderChar"/>
    <w:uiPriority w:val="99"/>
    <w:semiHidden/>
    <w:unhideWhenUsed/>
    <w:rsid w:val="002258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589D"/>
  </w:style>
  <w:style w:type="paragraph" w:styleId="Footer">
    <w:name w:val="footer"/>
    <w:basedOn w:val="Normal"/>
    <w:link w:val="FooterChar"/>
    <w:uiPriority w:val="99"/>
    <w:unhideWhenUsed/>
    <w:rsid w:val="00225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89D"/>
  </w:style>
  <w:style w:type="character" w:customStyle="1" w:styleId="Heading2Char">
    <w:name w:val="Heading 2 Char"/>
    <w:basedOn w:val="DefaultParagraphFont"/>
    <w:link w:val="Heading2"/>
    <w:rsid w:val="00DC4DA6"/>
    <w:rPr>
      <w:rFonts w:ascii="Tahoma" w:eastAsia="Times New Roman" w:hAnsi="Tahoma" w:cs="Tahoma"/>
      <w:i/>
      <w:iCs/>
      <w:sz w:val="22"/>
      <w:szCs w:val="24"/>
    </w:rPr>
  </w:style>
  <w:style w:type="character" w:customStyle="1" w:styleId="Heading4Char">
    <w:name w:val="Heading 4 Char"/>
    <w:basedOn w:val="DefaultParagraphFont"/>
    <w:link w:val="Heading4"/>
    <w:rsid w:val="00DC4DA6"/>
    <w:rPr>
      <w:rFonts w:ascii="Tahoma" w:eastAsia="Times New Roman" w:hAnsi="Tahoma" w:cs="Tahoma"/>
      <w:b/>
      <w:bCs/>
      <w:sz w:val="22"/>
      <w:szCs w:val="24"/>
    </w:rPr>
  </w:style>
  <w:style w:type="paragraph" w:styleId="BodyText">
    <w:name w:val="Body Text"/>
    <w:basedOn w:val="Normal"/>
    <w:link w:val="BodyTextChar"/>
    <w:semiHidden/>
    <w:rsid w:val="00DC4DA6"/>
    <w:pPr>
      <w:spacing w:after="0" w:line="240" w:lineRule="auto"/>
      <w:jc w:val="both"/>
    </w:pPr>
    <w:rPr>
      <w:rFonts w:ascii="Tahoma" w:eastAsia="Times New Roman" w:hAnsi="Tahoma" w:cs="Tahoma"/>
      <w:szCs w:val="24"/>
    </w:rPr>
  </w:style>
  <w:style w:type="character" w:customStyle="1" w:styleId="BodyTextChar">
    <w:name w:val="Body Text Char"/>
    <w:basedOn w:val="DefaultParagraphFont"/>
    <w:link w:val="BodyText"/>
    <w:semiHidden/>
    <w:rsid w:val="00DC4DA6"/>
    <w:rPr>
      <w:rFonts w:ascii="Tahoma" w:eastAsia="Times New Roman" w:hAnsi="Tahoma" w:cs="Tahoma"/>
      <w:sz w:val="22"/>
      <w:szCs w:val="24"/>
    </w:rPr>
  </w:style>
  <w:style w:type="paragraph" w:styleId="Subtitle">
    <w:name w:val="Subtitle"/>
    <w:basedOn w:val="Normal"/>
    <w:link w:val="SubtitleChar"/>
    <w:qFormat/>
    <w:rsid w:val="00DC4DA6"/>
    <w:pPr>
      <w:spacing w:after="0" w:line="240" w:lineRule="auto"/>
    </w:pPr>
    <w:rPr>
      <w:rFonts w:ascii="Tahoma" w:eastAsia="Times New Roman" w:hAnsi="Tahoma" w:cs="Tahoma"/>
      <w:b/>
      <w:bCs/>
      <w:szCs w:val="24"/>
    </w:rPr>
  </w:style>
  <w:style w:type="character" w:customStyle="1" w:styleId="SubtitleChar">
    <w:name w:val="Subtitle Char"/>
    <w:basedOn w:val="DefaultParagraphFont"/>
    <w:link w:val="Subtitle"/>
    <w:rsid w:val="00DC4DA6"/>
    <w:rPr>
      <w:rFonts w:ascii="Tahoma" w:eastAsia="Times New Roman" w:hAnsi="Tahoma" w:cs="Tahoma"/>
      <w:b/>
      <w:bCs/>
      <w:sz w:val="22"/>
      <w:szCs w:val="24"/>
    </w:rPr>
  </w:style>
</w:styles>
</file>

<file path=word/webSettings.xml><?xml version="1.0" encoding="utf-8"?>
<w:webSettings xmlns:r="http://schemas.openxmlformats.org/officeDocument/2006/relationships" xmlns:w="http://schemas.openxmlformats.org/wordprocessingml/2006/main">
  <w:divs>
    <w:div w:id="262497406">
      <w:bodyDiv w:val="1"/>
      <w:marLeft w:val="0"/>
      <w:marRight w:val="0"/>
      <w:marTop w:val="0"/>
      <w:marBottom w:val="0"/>
      <w:divBdr>
        <w:top w:val="none" w:sz="0" w:space="0" w:color="auto"/>
        <w:left w:val="none" w:sz="0" w:space="0" w:color="auto"/>
        <w:bottom w:val="none" w:sz="0" w:space="0" w:color="auto"/>
        <w:right w:val="none" w:sz="0" w:space="0" w:color="auto"/>
      </w:divBdr>
    </w:div>
    <w:div w:id="360981722">
      <w:bodyDiv w:val="1"/>
      <w:marLeft w:val="0"/>
      <w:marRight w:val="0"/>
      <w:marTop w:val="0"/>
      <w:marBottom w:val="0"/>
      <w:divBdr>
        <w:top w:val="none" w:sz="0" w:space="0" w:color="auto"/>
        <w:left w:val="none" w:sz="0" w:space="0" w:color="auto"/>
        <w:bottom w:val="none" w:sz="0" w:space="0" w:color="auto"/>
        <w:right w:val="none" w:sz="0" w:space="0" w:color="auto"/>
      </w:divBdr>
    </w:div>
    <w:div w:id="686754509">
      <w:bodyDiv w:val="1"/>
      <w:marLeft w:val="0"/>
      <w:marRight w:val="0"/>
      <w:marTop w:val="0"/>
      <w:marBottom w:val="0"/>
      <w:divBdr>
        <w:top w:val="none" w:sz="0" w:space="0" w:color="auto"/>
        <w:left w:val="none" w:sz="0" w:space="0" w:color="auto"/>
        <w:bottom w:val="none" w:sz="0" w:space="0" w:color="auto"/>
        <w:right w:val="none" w:sz="0" w:space="0" w:color="auto"/>
      </w:divBdr>
    </w:div>
    <w:div w:id="703602934">
      <w:bodyDiv w:val="1"/>
      <w:marLeft w:val="0"/>
      <w:marRight w:val="0"/>
      <w:marTop w:val="0"/>
      <w:marBottom w:val="0"/>
      <w:divBdr>
        <w:top w:val="none" w:sz="0" w:space="0" w:color="auto"/>
        <w:left w:val="none" w:sz="0" w:space="0" w:color="auto"/>
        <w:bottom w:val="none" w:sz="0" w:space="0" w:color="auto"/>
        <w:right w:val="none" w:sz="0" w:space="0" w:color="auto"/>
      </w:divBdr>
    </w:div>
    <w:div w:id="882326081">
      <w:bodyDiv w:val="1"/>
      <w:marLeft w:val="0"/>
      <w:marRight w:val="0"/>
      <w:marTop w:val="0"/>
      <w:marBottom w:val="0"/>
      <w:divBdr>
        <w:top w:val="none" w:sz="0" w:space="0" w:color="auto"/>
        <w:left w:val="none" w:sz="0" w:space="0" w:color="auto"/>
        <w:bottom w:val="none" w:sz="0" w:space="0" w:color="auto"/>
        <w:right w:val="none" w:sz="0" w:space="0" w:color="auto"/>
      </w:divBdr>
    </w:div>
    <w:div w:id="922953611">
      <w:bodyDiv w:val="1"/>
      <w:marLeft w:val="0"/>
      <w:marRight w:val="0"/>
      <w:marTop w:val="0"/>
      <w:marBottom w:val="0"/>
      <w:divBdr>
        <w:top w:val="none" w:sz="0" w:space="0" w:color="auto"/>
        <w:left w:val="none" w:sz="0" w:space="0" w:color="auto"/>
        <w:bottom w:val="none" w:sz="0" w:space="0" w:color="auto"/>
        <w:right w:val="none" w:sz="0" w:space="0" w:color="auto"/>
      </w:divBdr>
    </w:div>
    <w:div w:id="1097557350">
      <w:bodyDiv w:val="1"/>
      <w:marLeft w:val="0"/>
      <w:marRight w:val="0"/>
      <w:marTop w:val="0"/>
      <w:marBottom w:val="0"/>
      <w:divBdr>
        <w:top w:val="none" w:sz="0" w:space="0" w:color="auto"/>
        <w:left w:val="none" w:sz="0" w:space="0" w:color="auto"/>
        <w:bottom w:val="none" w:sz="0" w:space="0" w:color="auto"/>
        <w:right w:val="none" w:sz="0" w:space="0" w:color="auto"/>
      </w:divBdr>
    </w:div>
    <w:div w:id="1306396365">
      <w:bodyDiv w:val="1"/>
      <w:marLeft w:val="0"/>
      <w:marRight w:val="0"/>
      <w:marTop w:val="0"/>
      <w:marBottom w:val="0"/>
      <w:divBdr>
        <w:top w:val="none" w:sz="0" w:space="0" w:color="auto"/>
        <w:left w:val="none" w:sz="0" w:space="0" w:color="auto"/>
        <w:bottom w:val="none" w:sz="0" w:space="0" w:color="auto"/>
        <w:right w:val="none" w:sz="0" w:space="0" w:color="auto"/>
      </w:divBdr>
    </w:div>
    <w:div w:id="1308434573">
      <w:bodyDiv w:val="1"/>
      <w:marLeft w:val="0"/>
      <w:marRight w:val="0"/>
      <w:marTop w:val="0"/>
      <w:marBottom w:val="0"/>
      <w:divBdr>
        <w:top w:val="none" w:sz="0" w:space="0" w:color="auto"/>
        <w:left w:val="none" w:sz="0" w:space="0" w:color="auto"/>
        <w:bottom w:val="none" w:sz="0" w:space="0" w:color="auto"/>
        <w:right w:val="none" w:sz="0" w:space="0" w:color="auto"/>
      </w:divBdr>
    </w:div>
    <w:div w:id="145571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Office_PowerPoint_Slide2.sl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package" Target="embeddings/Microsoft_Office_PowerPoint_Slide3.sldx"/><Relationship Id="rId10" Type="http://schemas.openxmlformats.org/officeDocument/2006/relationships/package" Target="embeddings/Microsoft_Office_Excel_Worksheet1.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7995-8023-430B-8852-C287F0275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1</Pages>
  <Words>2188</Words>
  <Characters>12474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PT. Sarana Jateng Ventura</Company>
  <LinksUpToDate>false</LinksUpToDate>
  <CharactersWithSpaces>14633</CharactersWithSpaces>
  <SharedDoc>false</SharedDoc>
  <HLinks>
    <vt:vector size="6" baseType="variant">
      <vt:variant>
        <vt:i4>4718616</vt:i4>
      </vt:variant>
      <vt:variant>
        <vt:i4>27</vt:i4>
      </vt:variant>
      <vt:variant>
        <vt:i4>0</vt:i4>
      </vt:variant>
      <vt:variant>
        <vt:i4>5</vt:i4>
      </vt:variant>
      <vt:variant>
        <vt:lpwstr>http://www.bahana.co.id/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SJV</dc:creator>
  <cp:keywords/>
  <dc:description/>
  <cp:lastModifiedBy>SJV</cp:lastModifiedBy>
  <cp:revision>18</cp:revision>
  <dcterms:created xsi:type="dcterms:W3CDTF">2009-12-10T00:01:00Z</dcterms:created>
  <dcterms:modified xsi:type="dcterms:W3CDTF">2009-12-11T09:10:00Z</dcterms:modified>
</cp:coreProperties>
</file>