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016" w:rsidRPr="001E5BCB" w:rsidRDefault="004D6016" w:rsidP="004D6016">
      <w:pPr>
        <w:pStyle w:val="Heading2"/>
        <w:tabs>
          <w:tab w:val="clear" w:pos="0"/>
        </w:tabs>
        <w:rPr>
          <w:rFonts w:ascii="Book Antiqua" w:hAnsi="Book Antiqua"/>
          <w:sz w:val="26"/>
          <w:szCs w:val="26"/>
        </w:rPr>
      </w:pPr>
      <w:bookmarkStart w:id="0" w:name="_Toc339435689"/>
      <w:bookmarkStart w:id="1" w:name="_Toc382206873"/>
      <w:bookmarkStart w:id="2" w:name="_Toc382207520"/>
      <w:bookmarkStart w:id="3" w:name="_Toc382216230"/>
      <w:bookmarkStart w:id="4" w:name="_Toc382216423"/>
      <w:bookmarkStart w:id="5" w:name="_Toc382216616"/>
      <w:bookmarkStart w:id="6" w:name="_Toc383414749"/>
      <w:bookmarkStart w:id="7" w:name="_Toc383509427"/>
      <w:bookmarkStart w:id="8" w:name="_Toc383509619"/>
      <w:bookmarkStart w:id="9" w:name="_Toc385327778"/>
      <w:bookmarkStart w:id="10" w:name="_Toc385328364"/>
      <w:bookmarkStart w:id="11" w:name="_Toc385600376"/>
      <w:bookmarkStart w:id="12" w:name="_Toc385601260"/>
      <w:bookmarkStart w:id="13" w:name="_Toc385603262"/>
      <w:bookmarkStart w:id="14" w:name="_Toc385603439"/>
      <w:bookmarkStart w:id="15" w:name="_Toc397652994"/>
      <w:bookmarkStart w:id="16" w:name="_Toc426913197"/>
      <w:r w:rsidRPr="001E5BCB">
        <w:rPr>
          <w:rFonts w:ascii="Book Antiqua" w:hAnsi="Book Antiqua"/>
          <w:sz w:val="26"/>
          <w:szCs w:val="26"/>
        </w:rPr>
        <w:t>ARTICLE 117: The Grading System</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1E5BCB">
        <w:rPr>
          <w:rFonts w:ascii="Book Antiqua" w:hAnsi="Book Antiqua"/>
          <w:sz w:val="26"/>
          <w:szCs w:val="26"/>
        </w:rPr>
        <w:t xml:space="preserve"> </w:t>
      </w:r>
      <w:bookmarkEnd w:id="0"/>
    </w:p>
    <w:p w:rsidR="004D6016" w:rsidRPr="001E5BCB" w:rsidRDefault="004D6016" w:rsidP="004D6016">
      <w:pPr>
        <w:ind w:left="1440"/>
        <w:rPr>
          <w:rFonts w:ascii="Book Antiqua" w:hAnsi="Book Antiqua"/>
          <w:szCs w:val="24"/>
        </w:rPr>
      </w:pPr>
      <w:r w:rsidRPr="001E5BCB">
        <w:rPr>
          <w:rFonts w:ascii="Book Antiqua" w:hAnsi="Book Antiqua"/>
          <w:szCs w:val="24"/>
        </w:rPr>
        <w:t>Examinations are graded as per the following letter grading system with corresponding points.</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01"/>
        <w:gridCol w:w="2201"/>
        <w:gridCol w:w="1780"/>
      </w:tblGrid>
      <w:tr w:rsidR="004D6016" w:rsidRPr="001E5BCB" w:rsidTr="006259AD">
        <w:trPr>
          <w:trHeight w:val="107"/>
          <w:jc w:val="center"/>
        </w:trPr>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b/>
                <w:bCs/>
                <w:sz w:val="23"/>
                <w:szCs w:val="23"/>
                <w:lang w:eastAsia="en-US"/>
              </w:rPr>
              <w:t xml:space="preserve">Raw Mark </w:t>
            </w:r>
          </w:p>
        </w:tc>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b/>
                <w:bCs/>
                <w:sz w:val="23"/>
                <w:szCs w:val="23"/>
                <w:lang w:eastAsia="en-US"/>
              </w:rPr>
              <w:t xml:space="preserve">Letter Grade </w:t>
            </w:r>
          </w:p>
        </w:tc>
        <w:tc>
          <w:tcPr>
            <w:tcW w:w="1780"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b/>
                <w:bCs/>
                <w:sz w:val="23"/>
                <w:szCs w:val="23"/>
                <w:lang w:eastAsia="en-US"/>
              </w:rPr>
              <w:t xml:space="preserve">Grade Points </w:t>
            </w:r>
          </w:p>
        </w:tc>
      </w:tr>
      <w:tr w:rsidR="004D6016" w:rsidRPr="001E5BCB" w:rsidTr="006259AD">
        <w:trPr>
          <w:trHeight w:val="136"/>
          <w:jc w:val="center"/>
        </w:trPr>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[95, 100) </w:t>
            </w:r>
          </w:p>
        </w:tc>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A+ </w:t>
            </w:r>
          </w:p>
        </w:tc>
        <w:tc>
          <w:tcPr>
            <w:tcW w:w="1780"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4.00 </w:t>
            </w:r>
          </w:p>
        </w:tc>
      </w:tr>
      <w:tr w:rsidR="004D6016" w:rsidRPr="001E5BCB" w:rsidTr="006259AD">
        <w:trPr>
          <w:trHeight w:val="109"/>
          <w:jc w:val="center"/>
        </w:trPr>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[90, 95) </w:t>
            </w:r>
          </w:p>
        </w:tc>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A </w:t>
            </w:r>
          </w:p>
        </w:tc>
        <w:tc>
          <w:tcPr>
            <w:tcW w:w="1780"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4.00 </w:t>
            </w:r>
          </w:p>
        </w:tc>
      </w:tr>
      <w:tr w:rsidR="004D6016" w:rsidRPr="001E5BCB" w:rsidTr="006259AD">
        <w:trPr>
          <w:trHeight w:val="137"/>
          <w:jc w:val="center"/>
        </w:trPr>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[83, 90) </w:t>
            </w:r>
          </w:p>
        </w:tc>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A- </w:t>
            </w:r>
          </w:p>
        </w:tc>
        <w:tc>
          <w:tcPr>
            <w:tcW w:w="1780"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3.75 </w:t>
            </w:r>
          </w:p>
        </w:tc>
      </w:tr>
      <w:tr w:rsidR="004D6016" w:rsidRPr="001E5BCB" w:rsidTr="006259AD">
        <w:trPr>
          <w:trHeight w:val="109"/>
          <w:jc w:val="center"/>
        </w:trPr>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[76, 83) </w:t>
            </w:r>
          </w:p>
        </w:tc>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B+ </w:t>
            </w:r>
          </w:p>
        </w:tc>
        <w:tc>
          <w:tcPr>
            <w:tcW w:w="1780"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3.50 </w:t>
            </w:r>
          </w:p>
        </w:tc>
      </w:tr>
      <w:tr w:rsidR="004D6016" w:rsidRPr="001E5BCB" w:rsidTr="006259AD">
        <w:trPr>
          <w:trHeight w:val="109"/>
          <w:jc w:val="center"/>
        </w:trPr>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[70, 76) </w:t>
            </w:r>
          </w:p>
        </w:tc>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B </w:t>
            </w:r>
          </w:p>
        </w:tc>
        <w:tc>
          <w:tcPr>
            <w:tcW w:w="1780"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3.00 </w:t>
            </w:r>
          </w:p>
        </w:tc>
      </w:tr>
      <w:tr w:rsidR="004D6016" w:rsidRPr="001E5BCB" w:rsidTr="006259AD">
        <w:trPr>
          <w:trHeight w:val="136"/>
          <w:jc w:val="center"/>
        </w:trPr>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[65, 70) </w:t>
            </w:r>
          </w:p>
        </w:tc>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B- </w:t>
            </w:r>
          </w:p>
        </w:tc>
        <w:tc>
          <w:tcPr>
            <w:tcW w:w="1780"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2.75 </w:t>
            </w:r>
          </w:p>
        </w:tc>
      </w:tr>
      <w:tr w:rsidR="004D6016" w:rsidRPr="001E5BCB" w:rsidTr="006259AD">
        <w:trPr>
          <w:trHeight w:val="109"/>
          <w:jc w:val="center"/>
        </w:trPr>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[58, 65) </w:t>
            </w:r>
          </w:p>
        </w:tc>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C+ </w:t>
            </w:r>
          </w:p>
        </w:tc>
        <w:tc>
          <w:tcPr>
            <w:tcW w:w="1780"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2.50 </w:t>
            </w:r>
          </w:p>
        </w:tc>
      </w:tr>
      <w:tr w:rsidR="004D6016" w:rsidRPr="001E5BCB" w:rsidTr="006259AD">
        <w:trPr>
          <w:trHeight w:val="109"/>
          <w:jc w:val="center"/>
        </w:trPr>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[50, 58) </w:t>
            </w:r>
          </w:p>
        </w:tc>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C </w:t>
            </w:r>
          </w:p>
        </w:tc>
        <w:tc>
          <w:tcPr>
            <w:tcW w:w="1780"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2.00 </w:t>
            </w:r>
          </w:p>
        </w:tc>
      </w:tr>
      <w:tr w:rsidR="004D6016" w:rsidRPr="001E5BCB" w:rsidTr="006259AD">
        <w:trPr>
          <w:trHeight w:val="109"/>
          <w:jc w:val="center"/>
        </w:trPr>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[40, 50) </w:t>
            </w:r>
          </w:p>
        </w:tc>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D </w:t>
            </w:r>
          </w:p>
        </w:tc>
        <w:tc>
          <w:tcPr>
            <w:tcW w:w="1780"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1.00 </w:t>
            </w:r>
          </w:p>
        </w:tc>
      </w:tr>
      <w:tr w:rsidR="004D6016" w:rsidRPr="001E5BCB" w:rsidTr="006259AD">
        <w:trPr>
          <w:trHeight w:val="109"/>
          <w:jc w:val="center"/>
        </w:trPr>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&lt; 40 </w:t>
            </w:r>
          </w:p>
        </w:tc>
        <w:tc>
          <w:tcPr>
            <w:tcW w:w="2201"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F </w:t>
            </w:r>
          </w:p>
        </w:tc>
        <w:tc>
          <w:tcPr>
            <w:tcW w:w="1780" w:type="dxa"/>
            <w:shd w:val="clear" w:color="auto" w:fill="auto"/>
          </w:tcPr>
          <w:p w:rsidR="004D6016" w:rsidRPr="001E5BCB" w:rsidRDefault="004D6016" w:rsidP="006259AD">
            <w:pPr>
              <w:autoSpaceDE w:val="0"/>
              <w:autoSpaceDN w:val="0"/>
              <w:adjustRightInd w:val="0"/>
              <w:rPr>
                <w:rFonts w:eastAsia="Times New Roman"/>
                <w:sz w:val="23"/>
                <w:szCs w:val="23"/>
                <w:lang w:eastAsia="en-US"/>
              </w:rPr>
            </w:pPr>
            <w:r w:rsidRPr="001E5BCB">
              <w:rPr>
                <w:rFonts w:eastAsia="Times New Roman"/>
                <w:sz w:val="23"/>
                <w:szCs w:val="23"/>
                <w:lang w:eastAsia="en-US"/>
              </w:rPr>
              <w:t xml:space="preserve">0.00 </w:t>
            </w:r>
          </w:p>
        </w:tc>
      </w:tr>
    </w:tbl>
    <w:p w:rsidR="004D6016" w:rsidRPr="001E5BCB" w:rsidRDefault="004D6016" w:rsidP="004D6016">
      <w:pPr>
        <w:ind w:left="1440"/>
        <w:rPr>
          <w:rFonts w:ascii="Book Antiqua" w:hAnsi="Book Antiqua"/>
          <w:szCs w:val="24"/>
        </w:rPr>
      </w:pPr>
    </w:p>
    <w:p w:rsidR="004D6016" w:rsidRPr="001E5BCB" w:rsidRDefault="004D6016" w:rsidP="004D6016">
      <w:pPr>
        <w:numPr>
          <w:ilvl w:val="1"/>
          <w:numId w:val="1"/>
        </w:numPr>
        <w:spacing w:after="100" w:afterAutospacing="1"/>
        <w:rPr>
          <w:rFonts w:ascii="Book Antiqua" w:hAnsi="Book Antiqua"/>
          <w:szCs w:val="24"/>
        </w:rPr>
      </w:pPr>
      <w:r w:rsidRPr="001E5BCB">
        <w:rPr>
          <w:rFonts w:ascii="Book Antiqua" w:hAnsi="Book Antiqua"/>
          <w:szCs w:val="24"/>
        </w:rPr>
        <w:t>To complete courses in a post graduate program, a candidate needs to obtain a minimum CGPA of 3.00 and a maximum of one “C</w:t>
      </w:r>
      <w:r w:rsidRPr="001E5BCB">
        <w:rPr>
          <w:rFonts w:ascii="Book Antiqua" w:hAnsi="Book Antiqua"/>
          <w:szCs w:val="24"/>
          <w:vertAlign w:val="superscript"/>
        </w:rPr>
        <w:t>+</w:t>
      </w:r>
      <w:proofErr w:type="gramStart"/>
      <w:r w:rsidRPr="001E5BCB">
        <w:rPr>
          <w:rFonts w:ascii="Book Antiqua" w:hAnsi="Book Antiqua"/>
          <w:szCs w:val="24"/>
        </w:rPr>
        <w:t>”  grade</w:t>
      </w:r>
      <w:proofErr w:type="gramEnd"/>
      <w:r w:rsidRPr="001E5BCB">
        <w:rPr>
          <w:rFonts w:ascii="Book Antiqua" w:hAnsi="Book Antiqua"/>
          <w:szCs w:val="24"/>
        </w:rPr>
        <w:t xml:space="preserve"> in all courses for Masters and no “C” or “C</w:t>
      </w:r>
      <w:r w:rsidRPr="001E5BCB">
        <w:rPr>
          <w:rFonts w:ascii="Book Antiqua" w:hAnsi="Book Antiqua"/>
          <w:szCs w:val="24"/>
          <w:vertAlign w:val="superscript"/>
        </w:rPr>
        <w:t>+</w:t>
      </w:r>
      <w:r w:rsidRPr="001E5BCB">
        <w:rPr>
          <w:rFonts w:ascii="Book Antiqua" w:hAnsi="Book Antiqua"/>
          <w:szCs w:val="24"/>
        </w:rPr>
        <w:t>”  grade for PhD candidate.</w:t>
      </w:r>
    </w:p>
    <w:p w:rsidR="004D6016" w:rsidRPr="001E5BCB" w:rsidRDefault="004D6016" w:rsidP="004D6016">
      <w:pPr>
        <w:pStyle w:val="Heading2"/>
        <w:tabs>
          <w:tab w:val="clear" w:pos="0"/>
        </w:tabs>
        <w:rPr>
          <w:rFonts w:ascii="Book Antiqua" w:hAnsi="Book Antiqua"/>
          <w:sz w:val="26"/>
          <w:szCs w:val="26"/>
        </w:rPr>
      </w:pPr>
      <w:bookmarkStart w:id="17" w:name="__RefHeading__759_852897999"/>
      <w:bookmarkStart w:id="18" w:name="_Toc339435690"/>
      <w:bookmarkStart w:id="19" w:name="_Toc382206874"/>
      <w:bookmarkStart w:id="20" w:name="_Toc382207521"/>
      <w:bookmarkStart w:id="21" w:name="_Toc382216231"/>
      <w:bookmarkStart w:id="22" w:name="_Toc382216424"/>
      <w:bookmarkStart w:id="23" w:name="_Toc382216617"/>
      <w:bookmarkStart w:id="24" w:name="_Toc383414750"/>
      <w:bookmarkStart w:id="25" w:name="_Toc383509428"/>
      <w:bookmarkStart w:id="26" w:name="_Toc383509620"/>
      <w:bookmarkStart w:id="27" w:name="_Toc385327779"/>
      <w:bookmarkStart w:id="28" w:name="_Toc385328365"/>
      <w:bookmarkStart w:id="29" w:name="_Toc385600377"/>
      <w:bookmarkStart w:id="30" w:name="_Toc385601261"/>
      <w:bookmarkStart w:id="31" w:name="_Toc385603263"/>
      <w:bookmarkStart w:id="32" w:name="_Toc385603440"/>
      <w:bookmarkStart w:id="33" w:name="_Toc397652995"/>
      <w:bookmarkStart w:id="34" w:name="_Toc426913198"/>
      <w:bookmarkEnd w:id="17"/>
      <w:r w:rsidRPr="001E5BCB">
        <w:rPr>
          <w:rFonts w:ascii="Book Antiqua" w:hAnsi="Book Antiqua"/>
          <w:sz w:val="26"/>
          <w:szCs w:val="26"/>
        </w:rPr>
        <w:t>ARTICLE 118: Academic Status of Postgraduate Students</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rsidR="004D6016" w:rsidRPr="001E5BCB" w:rsidRDefault="004D6016" w:rsidP="004D6016">
      <w:pPr>
        <w:numPr>
          <w:ilvl w:val="1"/>
          <w:numId w:val="2"/>
        </w:numPr>
        <w:ind w:left="1440" w:hanging="720"/>
        <w:rPr>
          <w:rFonts w:ascii="Book Antiqua" w:hAnsi="Book Antiqua"/>
          <w:szCs w:val="24"/>
        </w:rPr>
      </w:pPr>
      <w:r w:rsidRPr="001E5BCB">
        <w:rPr>
          <w:rFonts w:ascii="Book Antiqua" w:hAnsi="Book Antiqua"/>
          <w:szCs w:val="24"/>
        </w:rPr>
        <w:t>At the end of each semester, the DGC shall examine the case of each candidate who has failed to maintain the minimum CGPA requirement of 3.00.  The inquiry shall attempt to determine why the candidate failed, and whether there is reason to believe the candidate will meet the required academic standards in the future.  A candidate may be placed on discretionary probation if, as a result of this inquiry, it is determined that valid reasons exist to explain and justify that academic failure can be removed and the candidate can achieve the required academic standards at the time of graduation.</w:t>
      </w:r>
    </w:p>
    <w:p w:rsidR="004D6016" w:rsidRPr="001E5BCB" w:rsidRDefault="004D6016" w:rsidP="004D6016">
      <w:pPr>
        <w:numPr>
          <w:ilvl w:val="1"/>
          <w:numId w:val="2"/>
        </w:numPr>
        <w:ind w:left="1440" w:hanging="720"/>
        <w:rPr>
          <w:rFonts w:ascii="Book Antiqua" w:hAnsi="Book Antiqua"/>
          <w:szCs w:val="24"/>
        </w:rPr>
      </w:pPr>
      <w:r w:rsidRPr="001E5BCB">
        <w:rPr>
          <w:rFonts w:ascii="Book Antiqua" w:hAnsi="Book Antiqua"/>
          <w:szCs w:val="24"/>
        </w:rPr>
        <w:lastRenderedPageBreak/>
        <w:t xml:space="preserve">A first year graduate student is subject to dismissal without first being put on probation if academic performance falls below 2.50 in the first semester results </w:t>
      </w:r>
    </w:p>
    <w:p w:rsidR="004D6016" w:rsidRPr="001E5BCB" w:rsidRDefault="004D6016" w:rsidP="004D6016">
      <w:pPr>
        <w:numPr>
          <w:ilvl w:val="1"/>
          <w:numId w:val="2"/>
        </w:numPr>
        <w:ind w:left="1440" w:hanging="720"/>
        <w:rPr>
          <w:rFonts w:ascii="Book Antiqua" w:hAnsi="Book Antiqua"/>
          <w:szCs w:val="24"/>
        </w:rPr>
      </w:pPr>
      <w:r w:rsidRPr="001E5BCB">
        <w:rPr>
          <w:rFonts w:ascii="Book Antiqua" w:hAnsi="Book Antiqua"/>
          <w:szCs w:val="24"/>
        </w:rPr>
        <w:t>Any first year or above graduate student who achieves SGPA between 2.50 and 3.00 shall be placed on probation by the DGC and any such student who had been placed on probation shall be subject to dismissal if the student fails to achieve SGPA of 3.00 in the following semester.</w:t>
      </w:r>
    </w:p>
    <w:p w:rsidR="004D6016" w:rsidRPr="001E5BCB" w:rsidRDefault="004D6016" w:rsidP="004D6016">
      <w:pPr>
        <w:numPr>
          <w:ilvl w:val="1"/>
          <w:numId w:val="2"/>
        </w:numPr>
        <w:spacing w:after="100" w:afterAutospacing="1"/>
        <w:ind w:left="1440" w:hanging="720"/>
        <w:rPr>
          <w:rFonts w:ascii="Book Antiqua" w:hAnsi="Book Antiqua"/>
          <w:szCs w:val="24"/>
        </w:rPr>
      </w:pPr>
      <w:r w:rsidRPr="001E5BCB">
        <w:rPr>
          <w:rFonts w:ascii="Book Antiqua" w:hAnsi="Book Antiqua"/>
          <w:szCs w:val="24"/>
        </w:rPr>
        <w:t>No candidate subject to dismissal may expect discretionary probation as a matter of right.</w:t>
      </w:r>
    </w:p>
    <w:p w:rsidR="004D6016" w:rsidRPr="001E5BCB" w:rsidRDefault="004D6016" w:rsidP="004D6016">
      <w:pPr>
        <w:pStyle w:val="Heading2"/>
        <w:tabs>
          <w:tab w:val="clear" w:pos="0"/>
        </w:tabs>
        <w:rPr>
          <w:rFonts w:ascii="Book Antiqua" w:hAnsi="Book Antiqua"/>
          <w:sz w:val="26"/>
          <w:szCs w:val="26"/>
        </w:rPr>
      </w:pPr>
      <w:bookmarkStart w:id="35" w:name="__RefHeading__761_852897999"/>
      <w:bookmarkStart w:id="36" w:name="_Toc339435691"/>
      <w:bookmarkStart w:id="37" w:name="_Toc382206875"/>
      <w:bookmarkStart w:id="38" w:name="_Toc382207522"/>
      <w:bookmarkStart w:id="39" w:name="_Toc382216232"/>
      <w:bookmarkStart w:id="40" w:name="_Toc382216425"/>
      <w:bookmarkStart w:id="41" w:name="_Toc382216618"/>
      <w:bookmarkStart w:id="42" w:name="_Toc383414751"/>
      <w:bookmarkStart w:id="43" w:name="_Toc383509429"/>
      <w:bookmarkStart w:id="44" w:name="_Toc383509621"/>
      <w:bookmarkStart w:id="45" w:name="_Toc385327780"/>
      <w:bookmarkStart w:id="46" w:name="_Toc385328366"/>
      <w:bookmarkStart w:id="47" w:name="_Toc385600378"/>
      <w:bookmarkStart w:id="48" w:name="_Toc385601262"/>
      <w:bookmarkStart w:id="49" w:name="_Toc385603264"/>
      <w:bookmarkStart w:id="50" w:name="_Toc385603441"/>
      <w:bookmarkStart w:id="51" w:name="_Toc397652996"/>
      <w:bookmarkStart w:id="52" w:name="_Toc426913199"/>
      <w:bookmarkEnd w:id="35"/>
      <w:r w:rsidRPr="001E5BCB">
        <w:rPr>
          <w:rFonts w:ascii="Book Antiqua" w:hAnsi="Book Antiqua"/>
          <w:sz w:val="26"/>
          <w:szCs w:val="26"/>
        </w:rPr>
        <w:t>ARTICLE 119: Repeating Courses in the Postgraduate Program</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4D6016" w:rsidRPr="001E5BCB" w:rsidRDefault="004D6016" w:rsidP="004D6016">
      <w:pPr>
        <w:numPr>
          <w:ilvl w:val="1"/>
          <w:numId w:val="3"/>
        </w:numPr>
        <w:ind w:left="1440" w:hanging="720"/>
        <w:rPr>
          <w:rFonts w:ascii="Book Antiqua" w:hAnsi="Book Antiqua"/>
          <w:szCs w:val="24"/>
        </w:rPr>
      </w:pPr>
      <w:r w:rsidRPr="001E5BCB">
        <w:rPr>
          <w:rFonts w:ascii="Book Antiqua" w:hAnsi="Book Antiqua"/>
          <w:szCs w:val="24"/>
        </w:rPr>
        <w:t xml:space="preserve">Courses with "C" grades or lower may be repeated when the CGPA of the student is less than 3.00. For PhD student all courses with “C” grades or lower shall be repeated.  </w:t>
      </w:r>
    </w:p>
    <w:p w:rsidR="004D6016" w:rsidRPr="001E5BCB" w:rsidRDefault="004D6016" w:rsidP="004D6016">
      <w:pPr>
        <w:numPr>
          <w:ilvl w:val="1"/>
          <w:numId w:val="3"/>
        </w:numPr>
        <w:ind w:left="1440" w:hanging="720"/>
        <w:rPr>
          <w:rFonts w:ascii="Book Antiqua" w:hAnsi="Book Antiqua"/>
          <w:szCs w:val="24"/>
        </w:rPr>
      </w:pPr>
      <w:r w:rsidRPr="001E5BCB">
        <w:rPr>
          <w:rFonts w:ascii="Book Antiqua" w:hAnsi="Book Antiqua"/>
          <w:szCs w:val="24"/>
        </w:rPr>
        <w:t>The DC, with the recommendation of the course/module instructor and the DGC, may allow a student with a grade “C” or lower to take re-exam, instead of repeating the course, after assessing the overall performance or special conditions of the student on individual basis.</w:t>
      </w:r>
    </w:p>
    <w:p w:rsidR="004D6016" w:rsidRPr="001E5BCB" w:rsidRDefault="004D6016" w:rsidP="004D6016">
      <w:pPr>
        <w:numPr>
          <w:ilvl w:val="1"/>
          <w:numId w:val="3"/>
        </w:numPr>
        <w:ind w:left="1440" w:hanging="720"/>
        <w:rPr>
          <w:rFonts w:ascii="Book Antiqua" w:hAnsi="Book Antiqua"/>
          <w:szCs w:val="24"/>
        </w:rPr>
      </w:pPr>
      <w:r w:rsidRPr="001E5BCB">
        <w:rPr>
          <w:rFonts w:ascii="Book Antiqua" w:hAnsi="Book Antiqua"/>
          <w:szCs w:val="24"/>
        </w:rPr>
        <w:t>A student may not repeat or take re-exam in a course/module more than twice unless it is required for graduation.</w:t>
      </w:r>
    </w:p>
    <w:p w:rsidR="004D6016" w:rsidRPr="001E5BCB" w:rsidRDefault="004D6016" w:rsidP="004D6016">
      <w:pPr>
        <w:numPr>
          <w:ilvl w:val="1"/>
          <w:numId w:val="3"/>
        </w:numPr>
        <w:ind w:left="1440" w:hanging="720"/>
        <w:rPr>
          <w:rFonts w:ascii="Book Antiqua" w:hAnsi="Book Antiqua"/>
          <w:szCs w:val="24"/>
        </w:rPr>
      </w:pPr>
      <w:r w:rsidRPr="001E5BCB">
        <w:rPr>
          <w:rFonts w:ascii="Book Antiqua" w:hAnsi="Book Antiqua"/>
          <w:szCs w:val="24"/>
        </w:rPr>
        <w:t xml:space="preserve">The final grade for repeated courses or a course/module in which re-exam has been taken shall be recorded as is and used for computation of CGPA.  </w:t>
      </w:r>
    </w:p>
    <w:p w:rsidR="004D6016" w:rsidRPr="001E5BCB" w:rsidRDefault="004D6016" w:rsidP="004D6016">
      <w:pPr>
        <w:numPr>
          <w:ilvl w:val="1"/>
          <w:numId w:val="3"/>
        </w:numPr>
        <w:spacing w:after="100" w:afterAutospacing="1"/>
        <w:ind w:left="1440" w:hanging="720"/>
        <w:rPr>
          <w:rFonts w:ascii="Book Antiqua" w:hAnsi="Book Antiqua"/>
          <w:szCs w:val="24"/>
        </w:rPr>
      </w:pPr>
      <w:r w:rsidRPr="001E5BCB">
        <w:rPr>
          <w:rFonts w:ascii="Book Antiqua" w:hAnsi="Book Antiqua"/>
          <w:szCs w:val="24"/>
        </w:rPr>
        <w:t>A student repeating course or sitting for re-exam shall be responsible for all costs required for repeating or re-examination</w:t>
      </w:r>
    </w:p>
    <w:p w:rsidR="00AF6166" w:rsidRDefault="00AF6166">
      <w:bookmarkStart w:id="53" w:name="_GoBack"/>
      <w:bookmarkEnd w:id="53"/>
    </w:p>
    <w:sectPr w:rsidR="00AF6166" w:rsidSect="00727775">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MingLiU">
    <w:altName w:val="新細明體"/>
    <w:panose1 w:val="00000000000000000000"/>
    <w:charset w:val="88"/>
    <w:family w:val="auto"/>
    <w:notTrueType/>
    <w:pitch w:val="variable"/>
    <w:sig w:usb0="00000001" w:usb1="08080000" w:usb2="00000010" w:usb3="00000000" w:csb0="00100000"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7465A6"/>
    <w:multiLevelType w:val="multilevel"/>
    <w:tmpl w:val="C30C2FF8"/>
    <w:lvl w:ilvl="0">
      <w:start w:val="11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59723259"/>
    <w:multiLevelType w:val="multilevel"/>
    <w:tmpl w:val="9D1E3778"/>
    <w:lvl w:ilvl="0">
      <w:start w:val="118"/>
      <w:numFmt w:val="decimal"/>
      <w:lvlText w:val="%1"/>
      <w:lvlJc w:val="left"/>
      <w:pPr>
        <w:ind w:left="540" w:hanging="540"/>
      </w:pPr>
      <w:rPr>
        <w:rFonts w:hint="default"/>
      </w:rPr>
    </w:lvl>
    <w:lvl w:ilvl="1">
      <w:start w:val="1"/>
      <w:numFmt w:val="decimal"/>
      <w:lvlText w:val="%1.%2"/>
      <w:lvlJc w:val="left"/>
      <w:pPr>
        <w:ind w:left="1404" w:hanging="54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672" w:hanging="108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848" w:hanging="1800"/>
      </w:pPr>
      <w:rPr>
        <w:rFonts w:hint="default"/>
      </w:rPr>
    </w:lvl>
    <w:lvl w:ilvl="8">
      <w:start w:val="1"/>
      <w:numFmt w:val="decimal"/>
      <w:lvlText w:val="%1.%2.%3.%4.%5.%6.%7.%8.%9"/>
      <w:lvlJc w:val="left"/>
      <w:pPr>
        <w:ind w:left="8712" w:hanging="1800"/>
      </w:pPr>
      <w:rPr>
        <w:rFonts w:hint="default"/>
      </w:rPr>
    </w:lvl>
  </w:abstractNum>
  <w:abstractNum w:abstractNumId="2">
    <w:nsid w:val="63CC5860"/>
    <w:multiLevelType w:val="multilevel"/>
    <w:tmpl w:val="9D1E3778"/>
    <w:lvl w:ilvl="0">
      <w:start w:val="117"/>
      <w:numFmt w:val="decimal"/>
      <w:lvlText w:val="%1"/>
      <w:lvlJc w:val="left"/>
      <w:pPr>
        <w:ind w:left="540" w:hanging="540"/>
      </w:pPr>
      <w:rPr>
        <w:rFonts w:hint="default"/>
      </w:rPr>
    </w:lvl>
    <w:lvl w:ilvl="1">
      <w:start w:val="1"/>
      <w:numFmt w:val="decimal"/>
      <w:lvlText w:val="%1.%2"/>
      <w:lvlJc w:val="left"/>
      <w:pPr>
        <w:ind w:left="1404" w:hanging="54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672" w:hanging="108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848" w:hanging="1800"/>
      </w:pPr>
      <w:rPr>
        <w:rFonts w:hint="default"/>
      </w:rPr>
    </w:lvl>
    <w:lvl w:ilvl="8">
      <w:start w:val="1"/>
      <w:numFmt w:val="decimal"/>
      <w:lvlText w:val="%1.%2.%3.%4.%5.%6.%7.%8.%9"/>
      <w:lvlJc w:val="left"/>
      <w:pPr>
        <w:ind w:left="8712"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016"/>
    <w:rsid w:val="004D6016"/>
    <w:rsid w:val="00727775"/>
    <w:rsid w:val="00AF616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A87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016"/>
    <w:pPr>
      <w:suppressAutoHyphens/>
      <w:spacing w:after="0" w:line="360" w:lineRule="auto"/>
      <w:jc w:val="both"/>
    </w:pPr>
    <w:rPr>
      <w:rFonts w:ascii="Times New Roman" w:eastAsia="PMingLiU" w:hAnsi="Times New Roman" w:cs="Times New Roman"/>
      <w:szCs w:val="20"/>
      <w:lang w:eastAsia="ar-SA"/>
    </w:rPr>
  </w:style>
  <w:style w:type="paragraph" w:styleId="Heading2">
    <w:name w:val="heading 2"/>
    <w:basedOn w:val="Normal"/>
    <w:next w:val="Normal"/>
    <w:link w:val="Heading2Char"/>
    <w:qFormat/>
    <w:rsid w:val="004D6016"/>
    <w:pPr>
      <w:keepNext/>
      <w:tabs>
        <w:tab w:val="num" w:pos="0"/>
      </w:tabs>
      <w:ind w:left="576" w:hanging="576"/>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D6016"/>
    <w:rPr>
      <w:rFonts w:ascii="Times New Roman" w:eastAsia="PMingLiU" w:hAnsi="Times New Roman" w:cs="Times New Roman"/>
      <w:b/>
      <w:sz w:val="28"/>
      <w:szCs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016"/>
    <w:pPr>
      <w:suppressAutoHyphens/>
      <w:spacing w:after="0" w:line="360" w:lineRule="auto"/>
      <w:jc w:val="both"/>
    </w:pPr>
    <w:rPr>
      <w:rFonts w:ascii="Times New Roman" w:eastAsia="PMingLiU" w:hAnsi="Times New Roman" w:cs="Times New Roman"/>
      <w:szCs w:val="20"/>
      <w:lang w:eastAsia="ar-SA"/>
    </w:rPr>
  </w:style>
  <w:style w:type="paragraph" w:styleId="Heading2">
    <w:name w:val="heading 2"/>
    <w:basedOn w:val="Normal"/>
    <w:next w:val="Normal"/>
    <w:link w:val="Heading2Char"/>
    <w:qFormat/>
    <w:rsid w:val="004D6016"/>
    <w:pPr>
      <w:keepNext/>
      <w:tabs>
        <w:tab w:val="num" w:pos="0"/>
      </w:tabs>
      <w:ind w:left="576" w:hanging="576"/>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D6016"/>
    <w:rPr>
      <w:rFonts w:ascii="Times New Roman" w:eastAsia="PMingLiU" w:hAnsi="Times New Roman" w:cs="Times New Roman"/>
      <w:b/>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394</Words>
  <Characters>2251</Characters>
  <Application>Microsoft Macintosh Word</Application>
  <DocSecurity>0</DocSecurity>
  <Lines>18</Lines>
  <Paragraphs>5</Paragraphs>
  <ScaleCrop>false</ScaleCrop>
  <Company>mu</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imac77</dc:creator>
  <cp:keywords/>
  <dc:description/>
  <cp:lastModifiedBy>imac77</cp:lastModifiedBy>
  <cp:revision>1</cp:revision>
  <dcterms:created xsi:type="dcterms:W3CDTF">2016-01-29T07:58:00Z</dcterms:created>
  <dcterms:modified xsi:type="dcterms:W3CDTF">2016-01-29T08:00:00Z</dcterms:modified>
</cp:coreProperties>
</file>