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tbl>
      <w:tblPr>
        <w:tblW w:w="12564"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ffffff"/>
        <w:tblLayout w:type="fixed"/>
      </w:tblPr>
      <w:tblGrid>
        <w:gridCol w:w="6282"/>
        <w:gridCol w:w="6282"/>
      </w:tblGrid>
      <w:tr>
        <w:tblPrEx>
          <w:shd w:val="clear" w:color="auto" w:fill="578625"/>
        </w:tblPrEx>
        <w:trPr>
          <w:trHeight w:val="540" w:hRule="atLeast"/>
          <w:tblHeader/>
        </w:trPr>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578625"/>
            <w:tcMar>
              <w:top w:type="dxa" w:w="80"/>
              <w:left w:type="dxa" w:w="80"/>
              <w:bottom w:type="dxa" w:w="80"/>
              <w:right w:type="dxa" w:w="80"/>
            </w:tcMar>
            <w:vAlign w:val="center"/>
          </w:tcPr>
          <w:p>
            <w:pPr>
              <w:pStyle w:val="Table Style 5"/>
              <w:jc w:val="center"/>
            </w:pPr>
            <w:r>
              <w:rPr>
                <w:sz w:val="42"/>
                <w:szCs w:val="42"/>
              </w:rPr>
              <w:t>Common Core</w:t>
            </w:r>
          </w:p>
        </w:tc>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578625"/>
            <w:tcMar>
              <w:top w:type="dxa" w:w="80"/>
              <w:left w:type="dxa" w:w="80"/>
              <w:bottom w:type="dxa" w:w="80"/>
              <w:right w:type="dxa" w:w="80"/>
            </w:tcMar>
            <w:vAlign w:val="center"/>
          </w:tcPr>
          <w:p>
            <w:pPr>
              <w:pStyle w:val="Table Style 5"/>
              <w:jc w:val="center"/>
            </w:pPr>
            <w:r>
              <w:rPr>
                <w:sz w:val="40"/>
                <w:szCs w:val="40"/>
              </w:rPr>
              <w:t xml:space="preserve">Middle School Must Haves </w:t>
            </w:r>
          </w:p>
        </w:tc>
      </w:tr>
      <w:tr>
        <w:tblPrEx>
          <w:shd w:val="clear" w:color="auto" w:fill="ffffff"/>
        </w:tblPrEx>
        <w:trPr>
          <w:trHeight w:val="10600" w:hRule="atLeast"/>
        </w:trPr>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ffffff"/>
            <w:tcMar>
              <w:top w:type="dxa" w:w="80"/>
              <w:left w:type="dxa" w:w="80"/>
              <w:bottom w:type="dxa" w:w="80"/>
              <w:right w:type="dxa" w:w="80"/>
            </w:tcMar>
            <w:vAlign w:val="top"/>
          </w:tcPr>
          <w:p>
            <w:r>
              <w:rPr>
                <w:sz w:val="18"/>
                <w:szCs w:val="18"/>
              </w:rPr>
              <w:t>Writing</w:t>
            </w:r>
          </w:p>
          <w:p/>
          <w:p>
            <w:r>
              <w:rPr>
                <w:sz w:val="18"/>
                <w:szCs w:val="18"/>
              </w:rPr>
              <w:t>Research to Build and Present Knowledge</w:t>
            </w:r>
          </w:p>
          <w:p/>
          <w:p>
            <w:r>
              <w:rPr>
                <w:sz w:val="18"/>
                <w:szCs w:val="18"/>
              </w:rPr>
              <w:t>CCSS.ELA-Literacy.W.8.7 Conduct short research projects to answer a question (including a self-generated question), drawing on several sources and generating additional related, focused questions that allow for multiple avenues of exploration.</w:t>
            </w:r>
          </w:p>
          <w:p>
            <w:r>
              <w:rPr>
                <w:sz w:val="18"/>
                <w:szCs w:val="18"/>
              </w:rPr>
              <w:t>CCSS.ELA-Literacy.W.8.8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
              <w:rPr>
                <w:sz w:val="18"/>
                <w:szCs w:val="18"/>
              </w:rPr>
              <w:t>CCSS.ELA-Literacy.W.8.9 Draw evidence from literary or informational texts to support analysis, reflection, and research.</w:t>
            </w:r>
          </w:p>
          <w:p>
            <w:r>
              <w:rPr>
                <w:sz w:val="18"/>
                <w:szCs w:val="18"/>
              </w:rPr>
              <w:t xml:space="preserve">CCSS.ELA-Literacy.W.8.9a Apply grade 8 Reading standards to literature (e.g., </w:t>
            </w:r>
            <w:r>
              <w:rPr>
                <w:sz w:val="18"/>
                <w:szCs w:val="18"/>
              </w:rPr>
              <w:t>“</w:t>
            </w:r>
            <w:r>
              <w:rPr>
                <w:sz w:val="18"/>
                <w:szCs w:val="18"/>
              </w:rPr>
              <w:t>Analyze how a modern work of fiction draws on themes, patterns of events, or character types from myths, traditional stories, or religious works such as the Bible, including describing how the material is rendered new</w:t>
            </w:r>
            <w:r>
              <w:rPr>
                <w:sz w:val="18"/>
                <w:szCs w:val="18"/>
              </w:rPr>
              <w:t>”</w:t>
            </w:r>
            <w:r>
              <w:rPr>
                <w:sz w:val="18"/>
                <w:szCs w:val="18"/>
              </w:rPr>
              <w:t>).</w:t>
            </w:r>
          </w:p>
          <w:p>
            <w:r>
              <w:rPr>
                <w:sz w:val="18"/>
                <w:szCs w:val="18"/>
              </w:rPr>
              <w:t xml:space="preserve">CCSS.ELA-Literacy.W.8.9b Apply grade 8 Reading standards to literary nonfiction (e.g., </w:t>
            </w:r>
            <w:r>
              <w:rPr>
                <w:sz w:val="18"/>
                <w:szCs w:val="18"/>
              </w:rPr>
              <w:t>“</w:t>
            </w:r>
            <w:r>
              <w:rPr>
                <w:sz w:val="18"/>
                <w:szCs w:val="18"/>
              </w:rPr>
              <w:t>Delineate and evaluate the argument and specific claims in a text, assessing whether the reasoning is sound and the evidence is relevant and sufficient; recognize when irrelevant evidence is introduced</w:t>
            </w:r>
            <w:r>
              <w:rPr>
                <w:sz w:val="18"/>
                <w:szCs w:val="18"/>
              </w:rPr>
              <w:t>”</w:t>
            </w:r>
            <w:r>
              <w:rPr>
                <w:sz w:val="18"/>
                <w:szCs w:val="18"/>
              </w:rPr>
              <w:t>).</w:t>
            </w:r>
          </w:p>
          <w:p/>
          <w:p>
            <w:r>
              <w:rPr>
                <w:sz w:val="18"/>
                <w:szCs w:val="18"/>
              </w:rPr>
              <w:t>Range of Writing</w:t>
            </w:r>
          </w:p>
          <w:p/>
          <w:p>
            <w:pPr>
              <w:pStyle w:val="Table Style 2"/>
            </w:pPr>
            <w:r>
              <w:rPr>
                <w:sz w:val="18"/>
                <w:szCs w:val="18"/>
              </w:rPr>
              <w:t>CCSS.ELA-Literacy.W.8.10 Write routinely over extended time frames (time for research, reflection, and revision) and shorter time frames (a single sitting or a day or two) for a range of discipline-specific tasks, purposes, and audiences.</w:t>
            </w:r>
          </w:p>
        </w:tc>
        <w:tc>
          <w:tcPr>
            <w:tcW w:type="dxa" w:w="6282"/>
            <w:tcBorders>
              <w:top w:val="single" w:color="375719" w:sz="16" w:space="0" w:shadow="0" w:frame="0"/>
              <w:left w:val="single" w:color="375719" w:sz="16" w:space="0" w:shadow="0" w:frame="0"/>
              <w:bottom w:val="single" w:color="375719" w:sz="16" w:space="0" w:shadow="0" w:frame="0"/>
              <w:right w:val="single" w:color="375719" w:sz="16" w:space="0" w:shadow="0" w:frame="0"/>
            </w:tcBorders>
            <w:shd w:val="clear" w:color="auto" w:fill="ffffff"/>
            <w:tcMar>
              <w:top w:type="dxa" w:w="80"/>
              <w:left w:type="dxa" w:w="80"/>
              <w:bottom w:type="dxa" w:w="80"/>
              <w:right w:type="dxa" w:w="80"/>
            </w:tcMar>
            <w:vAlign w:val="top"/>
          </w:tcPr>
          <w:p>
            <w:r>
              <w:rPr>
                <w:sz w:val="18"/>
                <w:szCs w:val="18"/>
              </w:rPr>
              <w:t>Writing</w:t>
            </w:r>
          </w:p>
        </w:tc>
      </w:tr>
    </w:tbl>
    <w:p>
      <w:pPr>
        <w:pStyle w:val="Body"/>
        <w:bidi w:val="0"/>
      </w:pPr>
    </w:p>
    <w:sectPr>
      <w:headerReference w:type="default" r:id="rId4"/>
      <w:footerReference w:type="default" r:id="rId5"/>
      <w:pgSz w:w="15840" w:h="12240" w:orient="landscape"/>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